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D860" w14:textId="2701CE0F" w:rsidR="00821D8C" w:rsidRDefault="00821D8C" w:rsidP="00821D8C">
      <w:pPr>
        <w:jc w:val="center"/>
      </w:pPr>
      <w:r>
        <w:t>Lokalna Grupa Działania Pałuki – Wspólna Sprawa</w:t>
      </w:r>
    </w:p>
    <w:p w14:paraId="0B4ACF86" w14:textId="4A4FD3B7" w:rsidR="00821D8C" w:rsidRDefault="00821D8C" w:rsidP="00821D8C">
      <w:pPr>
        <w:jc w:val="center"/>
      </w:pPr>
    </w:p>
    <w:tbl>
      <w:tblPr>
        <w:tblW w:w="15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2680"/>
        <w:gridCol w:w="1417"/>
        <w:gridCol w:w="3402"/>
        <w:gridCol w:w="5074"/>
        <w:gridCol w:w="2216"/>
      </w:tblGrid>
      <w:tr w:rsidR="00F97738" w:rsidRPr="00F97738" w14:paraId="185CBC43" w14:textId="77777777" w:rsidTr="003413E4">
        <w:trPr>
          <w:trHeight w:val="128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31DC0AC6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6196267E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Maks. liczba pkt 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584FA470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Opis kryterium</w:t>
            </w:r>
          </w:p>
        </w:tc>
        <w:tc>
          <w:tcPr>
            <w:tcW w:w="5074" w:type="dxa"/>
            <w:tcBorders>
              <w:bottom w:val="double" w:sz="4" w:space="0" w:color="auto"/>
            </w:tcBorders>
            <w:shd w:val="clear" w:color="auto" w:fill="DEEAF6"/>
            <w:vAlign w:val="center"/>
          </w:tcPr>
          <w:p w14:paraId="02642F6A" w14:textId="77777777" w:rsidR="002D510D" w:rsidRPr="00F97738" w:rsidRDefault="002D510D" w:rsidP="00B56C8D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Sposób weryfikacji i sposób oceny/punktowania 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shd w:val="clear" w:color="auto" w:fill="DEEAF6"/>
          </w:tcPr>
          <w:p w14:paraId="587B9700" w14:textId="77777777" w:rsidR="002D510D" w:rsidRPr="00F97738" w:rsidRDefault="002D510D" w:rsidP="00B56C8D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Znaczenie</w:t>
            </w:r>
            <w:r w:rsidRPr="00F97738">
              <w:rPr>
                <w:b/>
                <w:color w:val="000000" w:themeColor="text1"/>
                <w:sz w:val="18"/>
                <w:szCs w:val="18"/>
              </w:rPr>
              <w:t xml:space="preserve"> kryterium</w:t>
            </w:r>
          </w:p>
        </w:tc>
      </w:tr>
      <w:tr w:rsidR="00F97738" w:rsidRPr="00F97738" w14:paraId="636DBC4E" w14:textId="77777777" w:rsidTr="00B56C8D">
        <w:trPr>
          <w:trHeight w:val="262"/>
        </w:trPr>
        <w:tc>
          <w:tcPr>
            <w:tcW w:w="15370" w:type="dxa"/>
            <w:gridSpan w:val="6"/>
            <w:tcBorders>
              <w:top w:val="double" w:sz="4" w:space="0" w:color="auto"/>
            </w:tcBorders>
            <w:shd w:val="clear" w:color="auto" w:fill="DEEAF6"/>
          </w:tcPr>
          <w:p w14:paraId="38AF17FA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1.1.1Wsparcie dla zakładania działalności gospodarczej na obszarze LSR</w:t>
            </w:r>
          </w:p>
          <w:p w14:paraId="3037B028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08E10785" w14:textId="77777777" w:rsidTr="003413E4">
        <w:trPr>
          <w:trHeight w:val="1162"/>
        </w:trPr>
        <w:tc>
          <w:tcPr>
            <w:tcW w:w="581" w:type="dxa"/>
            <w:shd w:val="clear" w:color="auto" w:fill="FFD966"/>
          </w:tcPr>
          <w:p w14:paraId="03DDEB0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80" w:type="dxa"/>
            <w:shd w:val="clear" w:color="auto" w:fill="FFFFFF"/>
          </w:tcPr>
          <w:p w14:paraId="738D6A1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przewidział wykorzystanie logotypu LGD zgodnie z wytycznymi</w:t>
            </w:r>
          </w:p>
          <w:p w14:paraId="132AECD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CBAAEC" w14:textId="77777777" w:rsidR="002D510D" w:rsidRPr="00F97738" w:rsidRDefault="00714FD4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14:paraId="65B046E6" w14:textId="39331729" w:rsidR="000F5332" w:rsidRPr="00F97738" w:rsidRDefault="002D510D" w:rsidP="000F5332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operacje, które zakładają wykorzystanie logotypu LGD Pałuki – Wspólna Sprawa przez okres trwania projektu oraz po jego zakończeniu np. poprzez umieszczenie w miejscu realizacji operacji tablicy informacyjnej, umieszczenie logotypu na materiałach drukowanych związanych z realizacją operacji.</w:t>
            </w:r>
            <w:r w:rsidR="000F5332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Wytyczne dotyczą „</w:t>
            </w:r>
            <w:r w:rsidR="000F5332" w:rsidRPr="000F5332">
              <w:rPr>
                <w:rFonts w:ascii="Arial" w:hAnsi="Arial" w:cs="Arial"/>
                <w:i/>
                <w:color w:val="000000" w:themeColor="text1"/>
                <w:sz w:val="18"/>
                <w:szCs w:val="18"/>
                <w:highlight w:val="green"/>
              </w:rPr>
              <w:t>Księgi wizualizacji znaku PROW 2014-2020”</w:t>
            </w:r>
            <w:r w:rsidR="000F5332" w:rsidRPr="00F97738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06904E3" w14:textId="369CD20D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4" w:type="dxa"/>
            <w:shd w:val="clear" w:color="auto" w:fill="auto"/>
          </w:tcPr>
          <w:p w14:paraId="67ED5AB2" w14:textId="0625308A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Informacje zawarte we wniosku o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="00F9773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97738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w polu B.III.</w:t>
            </w:r>
            <w:r w:rsidR="000F533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1</w:t>
            </w:r>
            <w:r w:rsidR="00F97738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.4</w:t>
            </w: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.</w:t>
            </w:r>
          </w:p>
          <w:p w14:paraId="51EE15D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35C9DDD6" w14:textId="79CBE53C" w:rsidR="002D510D" w:rsidRPr="000F5332" w:rsidRDefault="00714FD4" w:rsidP="000F53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r w:rsidR="002D510D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</w:t>
            </w:r>
            <w:r w:rsidR="00821D8C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2D510D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wskazany we wniosku sposób wykorzystania logotypu.</w:t>
            </w:r>
          </w:p>
          <w:p w14:paraId="38399818" w14:textId="77777777" w:rsidR="000F5332" w:rsidRDefault="000F5332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843B4BD" w14:textId="1E2623D6" w:rsidR="002D510D" w:rsidRPr="000F5332" w:rsidRDefault="002D510D" w:rsidP="000F53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jeśli Wnioskodawca nie przewidział wykorzystania logotypu lub nie wskazał konkretnego sposobu wykorzystania logotypu.</w:t>
            </w:r>
          </w:p>
          <w:p w14:paraId="18A9A73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F7FE0D6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27E14A0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horyzontalne</w:t>
            </w:r>
          </w:p>
        </w:tc>
      </w:tr>
      <w:tr w:rsidR="00F97738" w:rsidRPr="00F97738" w14:paraId="07E89EF8" w14:textId="77777777" w:rsidTr="003413E4">
        <w:trPr>
          <w:trHeight w:val="758"/>
        </w:trPr>
        <w:tc>
          <w:tcPr>
            <w:tcW w:w="581" w:type="dxa"/>
            <w:shd w:val="clear" w:color="auto" w:fill="FFD966"/>
          </w:tcPr>
          <w:p w14:paraId="3BEA3629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680" w:type="dxa"/>
            <w:shd w:val="clear" w:color="auto" w:fill="FFFFFF"/>
          </w:tcPr>
          <w:p w14:paraId="232C894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przewidział wykorzystywanie rozwiązań sprzyjających ochronie środowiska i/lub podnoszeniu poziomu świadomości ekologicznej.</w:t>
            </w:r>
          </w:p>
          <w:p w14:paraId="7E9A4B9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  <w:p w14:paraId="0052DCE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F1B6A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F80C1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F5A3A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C939BD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CE4D6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67BB75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0F32963" w14:textId="4EFB01F0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strike/>
                <w:color w:val="000000" w:themeColor="text1"/>
                <w:sz w:val="18"/>
                <w:szCs w:val="18"/>
                <w:highlight w:val="yellow"/>
              </w:rPr>
            </w:pPr>
          </w:p>
          <w:p w14:paraId="43355F6B" w14:textId="18ED9D6F" w:rsidR="008F1AD3" w:rsidRPr="00F97738" w:rsidRDefault="001E5814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19A6B6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operacje, w których wnioskodawca wykaże się świadomym działaniem na rzecz poprawy stanu środowiska naturalnego na obszarze objętym LSR, a sama operacja w znaczny sposób przyczyni się do ochrony środowiska. Kryterium rekomendowane w PROW.</w:t>
            </w:r>
          </w:p>
        </w:tc>
        <w:tc>
          <w:tcPr>
            <w:tcW w:w="5074" w:type="dxa"/>
            <w:shd w:val="clear" w:color="auto" w:fill="auto"/>
          </w:tcPr>
          <w:p w14:paraId="4C173EF6" w14:textId="29BD428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oparciu o i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nformacje zawarte we wniosku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biznesplanie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8F1AD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Dominujący zakres operacji powinien mieć związek przyczynowy z ochroną </w:t>
            </w:r>
            <w:r w:rsidR="00F9773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środowiska</w:t>
            </w:r>
            <w:r w:rsidR="008F1AD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2D7369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0556F74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745A561B" w14:textId="72A587BC" w:rsidR="002D510D" w:rsidRPr="000F5332" w:rsidRDefault="001E5814" w:rsidP="000F53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D510D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</w:t>
            </w:r>
            <w:r w:rsidR="00D9512A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ów</w:t>
            </w:r>
            <w:r w:rsidR="002D510D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wskazanie </w:t>
            </w:r>
          </w:p>
          <w:p w14:paraId="2B718B4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681AC0" w14:textId="6AC8A7F7" w:rsidR="000F5332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- kosztów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przyczyniających się do ochrony środowiska i/lub podnoszenia świadomości ekologicznej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W polu B.IIII.1.4</w:t>
            </w:r>
            <w:r w:rsid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wniosku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wskazuje się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, które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pozycje z </w:t>
            </w:r>
            <w:r w:rsidR="00D9512A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tabeli 7.1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biznesplanu </w:t>
            </w:r>
            <w:r w:rsidR="000F5332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(wskazanie konkretnych pozycji z zestawienia rzeczowo-finansowego/kosztorysu wraz z uzasadnieniem)</w:t>
            </w:r>
            <w:r w:rsidR="00D9512A" w:rsidRPr="000F533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.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</w:t>
            </w:r>
            <w:r w:rsidR="000F5332">
              <w:t xml:space="preserve"> 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przyczynia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nia</w:t>
            </w:r>
            <w:r w:rsidR="000F5332" w:rsidRP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się do ochrony środowiska i/lub podnoszenia świadomości ekologicznej</w:t>
            </w:r>
            <w:r w:rsidR="000F533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DFA04D4" w14:textId="189A5F32" w:rsidR="002D510D" w:rsidRPr="00F97738" w:rsidRDefault="000F533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Wydatki te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muszą być </w:t>
            </w:r>
            <w:r w:rsidR="002D510D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poziomie co najmniej 10.000 zł łącznie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3B981C85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58AFC8C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i/lub</w:t>
            </w:r>
          </w:p>
          <w:p w14:paraId="500765B8" w14:textId="330568A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uzasadnienia</w:t>
            </w:r>
            <w:r w:rsidR="00F341BE" w:rsidRP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w polu B.III.1.4</w:t>
            </w:r>
            <w:r w:rsid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41BE" w:rsidRP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wniosku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potwierdzenie, iż charakter działalności związanej z operacją przyczyni się do ochrony środowiska</w:t>
            </w:r>
            <w:r w:rsidR="00821D8C" w:rsidRPr="00F97738">
              <w:rPr>
                <w:color w:val="000000" w:themeColor="text1"/>
              </w:rPr>
              <w:t xml:space="preserve"> </w:t>
            </w:r>
            <w:r w:rsidR="00821D8C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i/lub podnoszenia świadomości ekologicznej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1E5FF4A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</w:p>
          <w:p w14:paraId="623AA38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  <w:t xml:space="preserve"> </w:t>
            </w:r>
          </w:p>
          <w:p w14:paraId="7EA17173" w14:textId="77777777" w:rsidR="002D510D" w:rsidRPr="00F341BE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uwzględnił w projekcie wykorzystywania rozwiązań sprzyjających ochronie środowiska i podnoszenia poziomu świadomości ekologicznej. </w:t>
            </w:r>
          </w:p>
          <w:p w14:paraId="0E9A57E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169ADAA" w14:textId="5A0F4130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Ocena jest subiektywną oceną każdego członka Rady</w:t>
            </w:r>
            <w:r w:rsidR="00856A96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E38297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auto"/>
          </w:tcPr>
          <w:p w14:paraId="7B9B17AF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Kryterium horyzontalne</w:t>
            </w:r>
          </w:p>
        </w:tc>
      </w:tr>
      <w:tr w:rsidR="00F97738" w:rsidRPr="00F97738" w14:paraId="21B5E332" w14:textId="77777777" w:rsidTr="003413E4">
        <w:trPr>
          <w:trHeight w:val="128"/>
        </w:trPr>
        <w:tc>
          <w:tcPr>
            <w:tcW w:w="581" w:type="dxa"/>
            <w:shd w:val="clear" w:color="auto" w:fill="FFD966"/>
          </w:tcPr>
          <w:p w14:paraId="0227567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680" w:type="dxa"/>
            <w:shd w:val="clear" w:color="auto" w:fill="FFFFFF"/>
          </w:tcPr>
          <w:p w14:paraId="3A2C691F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wziął udział w szkoleniu/doradztwie organizowanym przez LGD w ramach danego naboru wniosków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C9A0F5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5101C845" w14:textId="77777777" w:rsidR="00F341BE" w:rsidRDefault="002D510D" w:rsidP="00F341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wnioskodawców, którzy poprzez udzia</w:t>
            </w:r>
            <w:r w:rsidR="00E84E0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ł w szkoleniu</w:t>
            </w:r>
            <w:r w:rsidR="00A86364" w:rsidRPr="00CB3BAD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/</w:t>
            </w:r>
            <w:r w:rsidR="00A86364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doradztwie</w:t>
            </w:r>
            <w:r w:rsidR="00E84E0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dotyczącym naboru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podnieśli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swoj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ą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wiedzę i kompetencj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przełoży się na jakość projektów.</w:t>
            </w:r>
            <w:r w:rsidR="00F341BE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BBA9ADB" w14:textId="0A4D42A1" w:rsidR="00F341BE" w:rsidRPr="00F97738" w:rsidRDefault="00F341BE" w:rsidP="00F341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Z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szkolenia</w:t>
            </w:r>
            <w:r w:rsidRPr="00CB3BAD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/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doradztwa korzysta wnioskodawca lub pełnomocnik lub osoba wskazana we wniosku jako osoba do kontaktu.</w:t>
            </w:r>
          </w:p>
          <w:p w14:paraId="5630A78D" w14:textId="50D38F3C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074" w:type="dxa"/>
            <w:shd w:val="clear" w:color="auto" w:fill="FFFFFF"/>
          </w:tcPr>
          <w:p w14:paraId="2398B02E" w14:textId="4749EF94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List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obecności ze szkoleń/oświadczenie o odbytym doradztwie w biurze LGD.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Oświadczenie </w:t>
            </w:r>
            <w:r w:rsidR="00F341BE" w:rsidRPr="00F341BE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i lista</w:t>
            </w:r>
            <w:r w:rsid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4782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jest wewnętrznym dokumentem LGD.</w:t>
            </w:r>
          </w:p>
          <w:p w14:paraId="33AB940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5A96A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Punktacja przyznawana będzie w następujący sposób: </w:t>
            </w:r>
          </w:p>
          <w:p w14:paraId="2653454A" w14:textId="77777777" w:rsidR="002D510D" w:rsidRPr="00F341BE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8 punktów za potwierdzone przez LGD Pałuki – Wspólna Sprawa uczestnictwo w szkoleniu lub skorzystanie z doradztwa udzielonego przez LGD Pałuki – Wspólna Sprawa. </w:t>
            </w:r>
          </w:p>
          <w:p w14:paraId="086EBA31" w14:textId="4C6CD83B" w:rsidR="002D510D" w:rsidRPr="00F341BE" w:rsidRDefault="002D510D" w:rsidP="00F341B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za </w:t>
            </w:r>
            <w:r w:rsidR="00D9512A"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niespełnienie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warunku</w:t>
            </w:r>
            <w:r w:rsidR="00D9512A"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wskazanego powyżej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AE994A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</w:tc>
        <w:tc>
          <w:tcPr>
            <w:tcW w:w="2216" w:type="dxa"/>
            <w:shd w:val="clear" w:color="auto" w:fill="FFFFFF"/>
          </w:tcPr>
          <w:p w14:paraId="0DF8ED57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horyzontalne</w:t>
            </w:r>
          </w:p>
        </w:tc>
      </w:tr>
      <w:tr w:rsidR="00F97738" w:rsidRPr="00F97738" w14:paraId="1D12F26C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59D9BEA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80" w:type="dxa"/>
            <w:shd w:val="clear" w:color="auto" w:fill="FFFFFF"/>
          </w:tcPr>
          <w:p w14:paraId="1174873B" w14:textId="357E6DE6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przedkłada zaświadczenie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Urzędu Skarbowego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wystawione nie wcześniej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niż miesiąc przed dniem złożenia wniosku) o tym</w:t>
            </w:r>
            <w:r w:rsid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że rozlicza podatek dochodowy (PIT) w lokalnym urzędzie skarbowym.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4A57F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1BFDC26B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premiować będzie tych wnioskodawców, którzy przyczynią się do wzrostu przychodów w JST na terenie objętym LSR.</w:t>
            </w:r>
          </w:p>
        </w:tc>
        <w:tc>
          <w:tcPr>
            <w:tcW w:w="5074" w:type="dxa"/>
            <w:shd w:val="clear" w:color="auto" w:fill="FFFFFF"/>
          </w:tcPr>
          <w:p w14:paraId="71184F12" w14:textId="051F8DCA" w:rsidR="002D510D" w:rsidRPr="00881FAD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Zaświadczenie dołączone do  wniosku 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(wystawione nie wcześniej niż miesiąc przed dniem złożenia </w:t>
            </w: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wniosku</w:t>
            </w:r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i nie później niż ostatniego dnia naboru wniosków. W przypadku kiedy Wnioskodawca nie może uzyskać zaświadczenia w terminie należy przedłożyć wniosek o wydanie zaświadczenia złożony w danym Urzędzie nie później niż </w:t>
            </w:r>
            <w:proofErr w:type="spellStart"/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niż</w:t>
            </w:r>
            <w:proofErr w:type="spellEnd"/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ostatniego dnia naboru wniosków.</w:t>
            </w: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).</w:t>
            </w:r>
            <w:r w:rsidR="007A4C9D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 w:rsidR="00FF6C0F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W przypadku zaświadczenia wystawianego w formie elektronicznej </w:t>
            </w:r>
            <w:r w:rsidR="002F64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lub wniosku o wydanie zaświadczenia w formie elektronicznej </w:t>
            </w:r>
            <w:r w:rsidR="007A4C9D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należy dołączyć dokument potwierdzający odebranie zaświadczenia</w:t>
            </w:r>
            <w:r w:rsidR="002F64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/złożenie wniosku</w:t>
            </w:r>
            <w:r w:rsidR="007A4C9D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np. </w:t>
            </w:r>
            <w:proofErr w:type="spellStart"/>
            <w:r w:rsidR="007A4C9D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screen</w:t>
            </w:r>
            <w:proofErr w:type="spellEnd"/>
            <w:r w:rsidR="007A4C9D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z systemu</w:t>
            </w:r>
            <w:r w:rsidR="00F341BE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lub Urzędowe Pismo Przewodnie.</w:t>
            </w:r>
          </w:p>
          <w:p w14:paraId="7D462109" w14:textId="372228E2" w:rsidR="00192E52" w:rsidRPr="00F97738" w:rsidRDefault="00192E5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LGD dopuszcza możliwość wezwania o dostarczenie dokumentu w przypadku kiedy znajduje się on w wykazie załączników a nie ma go w dokumentacji.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C9E5B53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2226DA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2DD63641" w14:textId="77777777" w:rsidR="002D510D" w:rsidRPr="00F341BE" w:rsidRDefault="002D510D" w:rsidP="00F341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punktów za zaświadczenie o rozliczaniu podatku PIT w lokalnym urzędzie skarbowym / zaświadczenie o figurowaniu w ewidencji podatników lokalnego urzędu skarbowego</w:t>
            </w:r>
          </w:p>
          <w:p w14:paraId="0DEC1C48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lub</w:t>
            </w:r>
          </w:p>
          <w:p w14:paraId="3605A044" w14:textId="5C974A9E" w:rsidR="002D510D" w:rsidRPr="00881FAD" w:rsidRDefault="002D510D" w:rsidP="00F341B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bookmarkStart w:id="0" w:name="_Hlk80691607"/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</w:t>
            </w:r>
            <w:r w:rsidR="00194828"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załączył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zaświadczenia </w:t>
            </w:r>
            <w:r w:rsidR="00194828"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>do</w:t>
            </w:r>
            <w:r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wniosku o </w:t>
            </w:r>
            <w:r w:rsidR="00194828" w:rsidRPr="00F341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przyznanie </w:t>
            </w:r>
            <w:r w:rsidR="00194828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pomocy</w:t>
            </w:r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lub nie spełnia warunku.</w:t>
            </w:r>
          </w:p>
          <w:bookmarkEnd w:id="0"/>
          <w:p w14:paraId="10E22DB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FFFFFF"/>
          </w:tcPr>
          <w:p w14:paraId="4FFFA2BC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specyficzne </w:t>
            </w:r>
          </w:p>
        </w:tc>
      </w:tr>
      <w:tr w:rsidR="00F97738" w:rsidRPr="00F97738" w14:paraId="66B93A64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7AEAD0D4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80" w:type="dxa"/>
            <w:shd w:val="clear" w:color="auto" w:fill="FFFFFF"/>
          </w:tcPr>
          <w:p w14:paraId="1D5A4CAE" w14:textId="1D71EB93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dniu składania wniosku Wnioskodawca jest zameldowany nieprzerwanie na pobyt stały lub czasowy na terenie powiatu żnińskiego, od co najmniej </w:t>
            </w:r>
            <w:r w:rsidR="008F1AD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miesięcy.</w:t>
            </w:r>
          </w:p>
          <w:p w14:paraId="2C3C65D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41B862E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EF75878" w14:textId="77777777" w:rsidR="002D510D" w:rsidRPr="00F97738" w:rsidRDefault="002D510D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0209D18F" w14:textId="4E00F4C8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zameldowani są </w:t>
            </w:r>
            <w:r w:rsidR="00E84E0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nieprzerwanie n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obszar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ze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 co najmniej 12 miesięcy.</w:t>
            </w:r>
          </w:p>
        </w:tc>
        <w:tc>
          <w:tcPr>
            <w:tcW w:w="5074" w:type="dxa"/>
            <w:shd w:val="clear" w:color="auto" w:fill="auto"/>
          </w:tcPr>
          <w:p w14:paraId="4DB905E2" w14:textId="099A0E60" w:rsidR="002D510D" w:rsidRPr="00881FAD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Dokumenty przedstawione przez Wnioskodawcę – urzędowe zaświadczenie o zameldowaniu (wystawione nie wcześniej niż mies</w:t>
            </w:r>
            <w:r w:rsidR="002F64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iąc przed dniem złożenia </w:t>
            </w:r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wniosku i nie później niż ostatniego dnia naboru wniosków. W przypadku kiedy Wnioskodawca nie może uzyskać zaświadczenia w terminie należy przedłożyć wniosek o wydanie zaświadczenia złożony w danym Urzędzie nie później niż </w:t>
            </w:r>
            <w:proofErr w:type="spellStart"/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niż</w:t>
            </w:r>
            <w:proofErr w:type="spellEnd"/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ostatniego dnia naboru wniosków</w:t>
            </w: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)</w:t>
            </w:r>
            <w:r w:rsidR="009C5E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. W przypadku zaświadczenia </w:t>
            </w:r>
            <w:r w:rsidR="009C5E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lastRenderedPageBreak/>
              <w:t xml:space="preserve">drukowanego przez system </w:t>
            </w:r>
            <w:proofErr w:type="spellStart"/>
            <w:r w:rsidR="009C5E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ePUAP</w:t>
            </w:r>
            <w:proofErr w:type="spellEnd"/>
            <w:r w:rsidR="002F64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lub wniosku o wydanie zaświadczenia w formie elektronicznej</w:t>
            </w:r>
            <w:r w:rsidR="009C5E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należy dołączyć dokument potwierdzający odebranie zaświadczenia</w:t>
            </w:r>
            <w:r w:rsidR="002F64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/złożenie wniosku</w:t>
            </w:r>
            <w:r w:rsidR="009C5E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np. </w:t>
            </w:r>
            <w:proofErr w:type="spellStart"/>
            <w:r w:rsidR="009C5E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screen</w:t>
            </w:r>
            <w:proofErr w:type="spellEnd"/>
            <w:r w:rsidR="009C5EC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z systemu.</w:t>
            </w:r>
          </w:p>
          <w:p w14:paraId="3C25D6E6" w14:textId="77777777" w:rsidR="00D04BAE" w:rsidRPr="00F97738" w:rsidRDefault="00D04BAE" w:rsidP="00D04BA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LGD dopuszcza możliwość wezwania o dostarczenie dokumentu w przypadku kiedy znajduje się on w wykazie załączników a nie ma go w dokumentacji.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4972378" w14:textId="77777777" w:rsidR="00D04BAE" w:rsidRPr="00F97738" w:rsidRDefault="00D04BAE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E238C0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44BF48EC" w14:textId="01272C41" w:rsidR="002D510D" w:rsidRPr="008550D7" w:rsidRDefault="002D510D" w:rsidP="008550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10 punktów za przedstawienie zaświadczenia dokumentującego zameldowanie na terenie objętym LSR</w:t>
            </w:r>
            <w:r w:rsidR="00194828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nieprzerwanie </w:t>
            </w: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 co najmniej 12 miesięcy</w:t>
            </w:r>
            <w:r w:rsidR="007A4C9D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1028050F" w14:textId="6C3E953B" w:rsidR="002D510D" w:rsidRPr="008550D7" w:rsidRDefault="002D510D" w:rsidP="008550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 jeśli Wnioskodawca</w:t>
            </w:r>
            <w:r w:rsid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nie spełnia warunku</w:t>
            </w:r>
            <w:r w:rsid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nie przedłożył Zaświadczenia lub przedłożył a nie wynika z niego, że jest zameldowany nieprzerwanie na pobyt stały lub czasowy na terenie LGD od co najmniej 12 miesięcy. </w:t>
            </w:r>
          </w:p>
          <w:p w14:paraId="6A56BED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1CE3B591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color w:val="000000" w:themeColor="text1"/>
                <w:sz w:val="18"/>
                <w:szCs w:val="18"/>
              </w:rPr>
              <w:lastRenderedPageBreak/>
              <w:t xml:space="preserve">Kryterium specyficzne </w:t>
            </w:r>
          </w:p>
        </w:tc>
      </w:tr>
      <w:tr w:rsidR="00F97738" w:rsidRPr="00F97738" w14:paraId="3D49ECD1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6B01E970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680" w:type="dxa"/>
            <w:shd w:val="clear" w:color="auto" w:fill="FFFFFF"/>
          </w:tcPr>
          <w:p w14:paraId="5EF03A6D" w14:textId="4748692E" w:rsidR="002D510D" w:rsidRPr="00F97738" w:rsidRDefault="002D510D" w:rsidP="008A7A9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Projekt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 zakłada robót remontowo-budowlanych</w:t>
            </w:r>
            <w:r w:rsidR="008A7A9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40FE5571" w14:textId="77777777" w:rsidR="008F0E93" w:rsidRPr="00F97738" w:rsidRDefault="008F0E93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20B4D4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9C60E9F" w14:textId="2168596F" w:rsidR="002D510D" w:rsidRPr="00F97738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14:paraId="25E01378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nie będą realizować projektów remontowo-budowlanych wymagających dłuższego czasu realizacji.</w:t>
            </w:r>
          </w:p>
          <w:p w14:paraId="4BD73005" w14:textId="77777777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kryterium jest adekwatne do analizy SWOT </w:t>
            </w:r>
          </w:p>
          <w:p w14:paraId="195A0144" w14:textId="4291BAC6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 mierzalne, pozwalające przypisać operacji określoną ilość punktów na podstawie dokumentacji. Jego zastosowanie zwiększa szanse na przygotowanie wysokiej, jakości dokumentacji do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wniosku o 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5E2BA8ED" w14:textId="6BB72627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co pozwoli wykorzystać maksymalnie wskazane w analizie SWOT malejące możliwości dostępu do środków finansowych.</w:t>
            </w:r>
          </w:p>
        </w:tc>
        <w:tc>
          <w:tcPr>
            <w:tcW w:w="5074" w:type="dxa"/>
            <w:shd w:val="clear" w:color="auto" w:fill="auto"/>
          </w:tcPr>
          <w:p w14:paraId="4BFC6AA8" w14:textId="54868101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Weryfikacja: Informacje zawarte we wniosku 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="009C5E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C5EC2" w:rsidRPr="009C5EC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oraz w biznesplanie w tabeli 7.1</w:t>
            </w:r>
            <w:r w:rsidRPr="009C5EC2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.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D9491B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A6D56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16567611" w14:textId="7621AED7" w:rsidR="002D510D" w:rsidRPr="008550D7" w:rsidRDefault="00BD39EF" w:rsidP="008550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15</w:t>
            </w:r>
            <w:r w:rsidR="002D510D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za </w:t>
            </w: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brak kosztów związanych z usługami remontowo-budowlanymi.</w:t>
            </w:r>
          </w:p>
          <w:p w14:paraId="1B2D0B4D" w14:textId="05F192D8" w:rsidR="002D510D" w:rsidRPr="008550D7" w:rsidRDefault="002D510D" w:rsidP="008550D7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</w:t>
            </w:r>
            <w:r w:rsidR="00194828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projekt </w:t>
            </w:r>
            <w:r w:rsidR="00194828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obejmuje koszty</w:t>
            </w: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D39EF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usług remontowo – budowlanych.</w:t>
            </w:r>
          </w:p>
          <w:p w14:paraId="0A526869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  <w:p w14:paraId="2A17466A" w14:textId="5B19AAD8" w:rsidR="009F1F82" w:rsidRPr="00F97738" w:rsidRDefault="009F1F82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Za roboty remontowo budowlane uznawane są działania wymagające uzyskania </w:t>
            </w:r>
            <w:r w:rsidR="004944A9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zgłoszenia</w:t>
            </w: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lub pozwolenia na budowę.</w:t>
            </w:r>
            <w:r w:rsidR="004944A9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W przypadkach wątpliwych wnioskodawca musi załączyć dokument </w:t>
            </w:r>
            <w:r w:rsidR="00CC6C67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właściwego organu </w:t>
            </w:r>
            <w:r w:rsidR="004944A9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potwierdzający</w:t>
            </w:r>
            <w:r w:rsidR="00CC6C67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,</w:t>
            </w:r>
            <w:r w:rsidR="004944A9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że wydatek nie stanowi prac remontowo-budowlanych</w:t>
            </w:r>
            <w:r w:rsidR="004944A9" w:rsidRPr="00074CE2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.</w:t>
            </w:r>
            <w:r w:rsidR="004944A9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16" w:type="dxa"/>
            <w:shd w:val="clear" w:color="auto" w:fill="auto"/>
          </w:tcPr>
          <w:p w14:paraId="59F5283F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color w:val="000000" w:themeColor="text1"/>
                <w:sz w:val="18"/>
                <w:szCs w:val="18"/>
              </w:rPr>
              <w:t xml:space="preserve">Kryterium specyficzne </w:t>
            </w:r>
          </w:p>
          <w:p w14:paraId="2D15EDA0" w14:textId="77777777" w:rsidR="002D510D" w:rsidRPr="00F97738" w:rsidRDefault="002D510D" w:rsidP="00B56C8D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Kryterium rozstrzygające 2.</w:t>
            </w:r>
          </w:p>
        </w:tc>
      </w:tr>
      <w:tr w:rsidR="00F97738" w:rsidRPr="00F97738" w14:paraId="7DF2974E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80ED1A9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680" w:type="dxa"/>
            <w:shd w:val="clear" w:color="auto" w:fill="FFFFFF"/>
          </w:tcPr>
          <w:p w14:paraId="4B8E220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w ramach projektu zakłada działalność gospodarczą opartą na produktach rolnych.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BC3405" w14:textId="5B09F324" w:rsidR="002D510D" w:rsidRPr="00F97738" w:rsidRDefault="008A7A97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1D24769D" w14:textId="25BA9BB0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tych wnioskodawców, którzy zakładaną działalność gospodarczą </w:t>
            </w:r>
            <w:r w:rsid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opartą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 produktach rolnych. Kryterium rekomendowane w PROW </w:t>
            </w:r>
          </w:p>
        </w:tc>
        <w:tc>
          <w:tcPr>
            <w:tcW w:w="5074" w:type="dxa"/>
            <w:shd w:val="clear" w:color="auto" w:fill="auto"/>
          </w:tcPr>
          <w:p w14:paraId="1AE733D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</w:t>
            </w:r>
          </w:p>
          <w:p w14:paraId="32BD5C0F" w14:textId="3D3871C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Informacje zawarte we wniosku o 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przyznanie pomocy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biznesplanie. </w:t>
            </w:r>
          </w:p>
          <w:p w14:paraId="25817CD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39E682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1F0F1855" w14:textId="0491464F" w:rsidR="002D510D" w:rsidRPr="008550D7" w:rsidRDefault="008A7A97" w:rsidP="008550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2D510D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 za wykazanie we wniosku (pole B.III.1.4</w:t>
            </w:r>
            <w:r w:rsid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 </w:t>
            </w:r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odniesienie w tabeli 9.2 odnoszące się do zakresu</w:t>
            </w:r>
            <w:r w:rsid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operacji</w:t>
            </w:r>
            <w:r w:rsidR="002D510D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), że zakładana działalność gospodarcza oparta będzie na produktach rolnych. </w:t>
            </w:r>
          </w:p>
          <w:p w14:paraId="21253F2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F3D56B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50E5B04" w14:textId="06DBD675" w:rsidR="002D510D" w:rsidRPr="00881FAD" w:rsidRDefault="002D510D" w:rsidP="008550D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0 punktów jeśli Wnioskodawca nie zakłada wykorzystania w działalności produktów rolnych lub uzasadnienie  ujęte w polu B.III.1.4 nie będzie </w:t>
            </w: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lastRenderedPageBreak/>
              <w:t>wystarczające</w:t>
            </w:r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i brak będzie odniesienia w tabeli 9.2 do produktów rolnych</w:t>
            </w:r>
          </w:p>
          <w:p w14:paraId="42C69E2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8AE98E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AD45462" w14:textId="597FB25F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jest subiektywną oceną każdego członka Rady</w:t>
            </w:r>
          </w:p>
          <w:p w14:paraId="1EB6206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4C05B90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  <w:p w14:paraId="12972DF0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4CCA0A1B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Kryterium specyficzne </w:t>
            </w:r>
          </w:p>
        </w:tc>
      </w:tr>
      <w:tr w:rsidR="00F97738" w:rsidRPr="00F97738" w14:paraId="1C6ED72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5EA381F2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680" w:type="dxa"/>
            <w:shd w:val="clear" w:color="auto" w:fill="FFFFFF"/>
          </w:tcPr>
          <w:p w14:paraId="3B737E24" w14:textId="4E4ACDB2" w:rsidR="002D510D" w:rsidRPr="00F97738" w:rsidRDefault="008A7A97" w:rsidP="00B56C8D">
            <w:pPr>
              <w:spacing w:after="0" w:line="240" w:lineRule="auto"/>
              <w:jc w:val="both"/>
              <w:rPr>
                <w:rFonts w:ascii="Arial" w:hAnsi="Arial" w:cs="Arial"/>
                <w:strike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Czas realizacji projektu do 3 miesięcy od </w:t>
            </w:r>
          </w:p>
          <w:p w14:paraId="41BD0F6F" w14:textId="3835BF3B" w:rsidR="00081BB9" w:rsidRPr="00F97738" w:rsidRDefault="008550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o</w:t>
            </w:r>
            <w:r w:rsidR="00081BB9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trzymania wypłaty 1 transzy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5EC18" w14:textId="77777777" w:rsidR="002D510D" w:rsidRPr="00F97738" w:rsidRDefault="008B623F" w:rsidP="008A7A97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67E17C3F" w14:textId="51BFB600" w:rsidR="00BD39EF" w:rsidRPr="00F97738" w:rsidRDefault="008A7A97" w:rsidP="008550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operacje przyczyniające się do szybkiej realizacji </w:t>
            </w:r>
            <w:r w:rsid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wskaźników zawartych w LSR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będzie promowało projekty, których realizacja jest zaplanowana na krótki okres</w:t>
            </w:r>
            <w:r w:rsidR="0019482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BD39E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co ma wpływ na osiąganie przez LGD wskaźników. </w:t>
            </w:r>
          </w:p>
          <w:p w14:paraId="50685839" w14:textId="77777777" w:rsidR="00BD39EF" w:rsidRPr="00F97738" w:rsidRDefault="00BD39EF" w:rsidP="00BD39E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373F153C" w14:textId="2F3207B5" w:rsidR="002D510D" w:rsidRPr="00F97738" w:rsidRDefault="00BD39EF" w:rsidP="008550D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kryterium jest adekwatne do analizy SWOT i mierzalne, pozwalające przypisać operacji określoną ilość punktów na podstawie dokumentacji. Jego zastosowanie zwiększa szanse na przygotowanie wysokiej jakości dokumentacji do wniosków o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</w:p>
        </w:tc>
        <w:tc>
          <w:tcPr>
            <w:tcW w:w="5074" w:type="dxa"/>
            <w:shd w:val="clear" w:color="auto" w:fill="auto"/>
          </w:tcPr>
          <w:p w14:paraId="77A98DED" w14:textId="159B3943" w:rsidR="00194828" w:rsidRPr="00F97738" w:rsidRDefault="00194828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</w:t>
            </w:r>
            <w:r w:rsidR="009D7FD7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ę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przyznaje się w następujący sposób:</w:t>
            </w:r>
          </w:p>
          <w:p w14:paraId="4652EA1C" w14:textId="77777777" w:rsidR="008550D7" w:rsidRPr="00881FAD" w:rsidRDefault="008B623F" w:rsidP="008550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="002D510D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2D510D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punktów za </w:t>
            </w:r>
            <w:r w:rsidR="008A7A97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deklarację we wniosku</w:t>
            </w:r>
            <w:r w:rsidR="00081BB9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w polu</w:t>
            </w:r>
            <w:r w:rsidR="00F376A0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B.III.</w:t>
            </w:r>
            <w:r w:rsidR="00081BB9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1.4</w:t>
            </w:r>
            <w:r w:rsidR="008A7A97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realizacji operacji i złożenia wniosku o płatność 2 transzy w terminie do 3 miesięcy od dnia</w:t>
            </w:r>
            <w:r w:rsidR="00A86364" w:rsidRP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86364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o</w:t>
            </w:r>
            <w:r w:rsidR="00081BB9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trzymania pierwszej transzy.</w:t>
            </w:r>
            <w:r w:rsidR="009D7FD7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</w:p>
          <w:p w14:paraId="7E71BD46" w14:textId="77777777" w:rsidR="008550D7" w:rsidRDefault="008550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FE3F7DB" w14:textId="0378494A" w:rsidR="002D510D" w:rsidRPr="00F97738" w:rsidRDefault="009D7FD7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UWAGA: W PRZYPADKU OT</w:t>
            </w:r>
            <w:r w:rsidR="00F376A0">
              <w:rPr>
                <w:rFonts w:ascii="Arial" w:hAnsi="Arial" w:cs="Arial"/>
                <w:color w:val="000000" w:themeColor="text1"/>
                <w:sz w:val="18"/>
                <w:szCs w:val="18"/>
              </w:rPr>
              <w:t>RZ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YMANIA PUNKTÓW TERMINU NIE BĘDZIE MOŻNA WYDŁUŻYC </w:t>
            </w:r>
            <w:r w:rsidR="008550D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(jeśli zmiana wpływałaby na pozycję na liście operacji wybranych powodującą negatywny wynik wyboru) 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ZATEM TRZEBA REALNIE OKREŚLIĆ TERMIN MAJĄC NA WZGLĘDZIE ZAKRES OPERACJI. </w:t>
            </w:r>
          </w:p>
          <w:p w14:paraId="4638BD17" w14:textId="5F1E8D11" w:rsidR="002D510D" w:rsidRPr="008550D7" w:rsidRDefault="002D510D" w:rsidP="008550D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</w:pPr>
            <w:r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0 punktów za brak</w:t>
            </w:r>
            <w:r w:rsidR="008550D7" w:rsidRPr="008550D7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deklaracji dotyczącej terminu w polu B.III.1.4</w:t>
            </w:r>
            <w:r w:rsidR="00E6401E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.</w:t>
            </w:r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lub deklarację powyżej 3 miesięcy</w:t>
            </w:r>
          </w:p>
          <w:p w14:paraId="09BAEFE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63913A04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specyficzne </w:t>
            </w:r>
          </w:p>
          <w:p w14:paraId="556B9CE5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Kryterium rozstrzygające 3.</w:t>
            </w:r>
          </w:p>
        </w:tc>
      </w:tr>
      <w:tr w:rsidR="00F97738" w:rsidRPr="00F97738" w14:paraId="13BC2E3F" w14:textId="77777777" w:rsidTr="003413E4">
        <w:trPr>
          <w:trHeight w:val="124"/>
        </w:trPr>
        <w:tc>
          <w:tcPr>
            <w:tcW w:w="581" w:type="dxa"/>
            <w:shd w:val="clear" w:color="auto" w:fill="auto"/>
          </w:tcPr>
          <w:p w14:paraId="6341DF51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680" w:type="dxa"/>
            <w:shd w:val="clear" w:color="auto" w:fill="FFFFFF"/>
          </w:tcPr>
          <w:p w14:paraId="71211DEF" w14:textId="2B92439E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Wnioskodawca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będzie realizował operację w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liczącej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5000 mieszkańców 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zameldowanych na pobyt stały.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E864F2A" w14:textId="61381DFF" w:rsidR="002D510D" w:rsidRPr="00F97738" w:rsidRDefault="00C1491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14:paraId="2197C31E" w14:textId="6BAC688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premiować będzie te projekty, które przyczyniać się będą do </w:t>
            </w:r>
            <w:r w:rsidR="00803E58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rozwoju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liczących mniej niż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mieszkańców.</w:t>
            </w:r>
          </w:p>
          <w:p w14:paraId="56252CF7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premiowane przez PROW. </w:t>
            </w:r>
          </w:p>
        </w:tc>
        <w:tc>
          <w:tcPr>
            <w:tcW w:w="5074" w:type="dxa"/>
            <w:shd w:val="clear" w:color="auto" w:fill="auto"/>
          </w:tcPr>
          <w:p w14:paraId="6B3ADC1D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Dane statystyczne z Urzędów Gmin pozyskane przez LGD – stan na dzień 31.12 roku poprzedzającego rok złożenia wniosku.</w:t>
            </w:r>
          </w:p>
          <w:p w14:paraId="4C1B4350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4CF23ACA" w14:textId="6C017686" w:rsidR="002D510D" w:rsidRPr="00192E52" w:rsidRDefault="00C14910" w:rsidP="00192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  <w:r w:rsidR="008B623F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unkt</w:t>
            </w:r>
            <w:r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</w:t>
            </w:r>
            <w:r w:rsidR="00936860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realizację operacji w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miejscowości </w:t>
            </w:r>
            <w:r w:rsidR="00AF44E0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</w:t>
            </w:r>
            <w:r w:rsidR="00803E58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ej</w:t>
            </w:r>
            <w:r w:rsidR="00AF44E0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mniej niż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</w:t>
            </w:r>
            <w:r w:rsidR="00192E52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000</w:t>
            </w:r>
            <w:r w:rsidR="002D510D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mieszkańców.</w:t>
            </w:r>
          </w:p>
          <w:p w14:paraId="03C6325A" w14:textId="1D5B0DC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5864770" w14:textId="77777777" w:rsidR="002D510D" w:rsidRPr="00192E52" w:rsidRDefault="002D510D" w:rsidP="00192E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projekt dotyczy większej miejscowości </w:t>
            </w:r>
            <w:r w:rsidR="00D9512A" w:rsidRPr="00192E52">
              <w:rPr>
                <w:rFonts w:ascii="Arial" w:hAnsi="Arial" w:cs="Arial"/>
                <w:color w:val="000000" w:themeColor="text1"/>
                <w:sz w:val="18"/>
                <w:szCs w:val="18"/>
              </w:rPr>
              <w:t>liczącej co najmniej 5000 mieszkańców</w:t>
            </w:r>
          </w:p>
          <w:p w14:paraId="6B6F7BFC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Punktów pośrednich nie przyznaje się.</w:t>
            </w:r>
          </w:p>
          <w:p w14:paraId="2EF46CC2" w14:textId="2B3AC1A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71FD0BD7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rozstrzygające 1.</w:t>
            </w:r>
          </w:p>
        </w:tc>
      </w:tr>
      <w:tr w:rsidR="00F97738" w:rsidRPr="00F97738" w14:paraId="4C87A7B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3546D32C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680" w:type="dxa"/>
            <w:shd w:val="clear" w:color="auto" w:fill="FFFFFF"/>
          </w:tcPr>
          <w:p w14:paraId="791FFFDE" w14:textId="08242FB6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jest osobą:</w:t>
            </w:r>
          </w:p>
          <w:p w14:paraId="5BA7F363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do 35 r. ż. w dniu złożenia wniosku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(osoby, które nie ukończyły 35 lat)</w:t>
            </w:r>
          </w:p>
          <w:p w14:paraId="55311406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pow. 50 r.ż. w dniu złożenia wniosku </w:t>
            </w:r>
            <w:r w:rsidR="00D9512A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(osoby, które ukończyły 50 lat)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DA1C12" w14:textId="6A37D64F" w:rsidR="002D510D" w:rsidRPr="00F97738" w:rsidRDefault="00C1491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0873BBF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będzie premiować te osoby, które w diagnozie zostały wskazane, jako należące do grupy </w:t>
            </w:r>
            <w:proofErr w:type="spellStart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defaworyzowanej</w:t>
            </w:r>
            <w:proofErr w:type="spellEnd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074" w:type="dxa"/>
            <w:shd w:val="clear" w:color="auto" w:fill="auto"/>
          </w:tcPr>
          <w:p w14:paraId="5AFF2CB3" w14:textId="0F88DE99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Weryfikacja: kserokopi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dowodu osobistego.</w:t>
            </w:r>
          </w:p>
          <w:p w14:paraId="0A62C8CA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0ABDA73B" w14:textId="44E61865" w:rsidR="002D510D" w:rsidRPr="00A75EBE" w:rsidRDefault="00C14910" w:rsidP="00A75E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punktów jeśli wnioskodawca spełnieni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warun</w:t>
            </w:r>
            <w:r w:rsid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ek</w:t>
            </w:r>
            <w:r w:rsidR="002D510D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dot. wieku</w:t>
            </w:r>
          </w:p>
          <w:p w14:paraId="28C53E9A" w14:textId="528C8601" w:rsidR="002D510D" w:rsidRPr="00A75EBE" w:rsidRDefault="002D510D" w:rsidP="00A75EB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0 punktów jeśli Wnioskodawca nie spełnia warunku dot. wieku. </w:t>
            </w:r>
          </w:p>
          <w:p w14:paraId="31FF6E51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F37E122" w14:textId="77777777" w:rsidR="002D510D" w:rsidRPr="00F97738" w:rsidRDefault="002D510D" w:rsidP="00B56C8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Punktów pośrednich nie przyznaje się. </w:t>
            </w:r>
          </w:p>
        </w:tc>
        <w:tc>
          <w:tcPr>
            <w:tcW w:w="2216" w:type="dxa"/>
            <w:shd w:val="clear" w:color="auto" w:fill="auto"/>
          </w:tcPr>
          <w:p w14:paraId="0DC4A8AD" w14:textId="77777777" w:rsidR="002D510D" w:rsidRPr="00F97738" w:rsidRDefault="002D510D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premiujące grupy </w:t>
            </w:r>
            <w:proofErr w:type="spellStart"/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defaworyzowane</w:t>
            </w:r>
            <w:proofErr w:type="spellEnd"/>
          </w:p>
        </w:tc>
      </w:tr>
      <w:tr w:rsidR="00F97738" w:rsidRPr="00F97738" w14:paraId="1EFD0492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B3A4ADD" w14:textId="77777777" w:rsidR="008B623F" w:rsidRPr="00F97738" w:rsidRDefault="008B623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680" w:type="dxa"/>
            <w:shd w:val="clear" w:color="auto" w:fill="FFFFFF"/>
          </w:tcPr>
          <w:p w14:paraId="5656ADEA" w14:textId="4A42C40A" w:rsidR="008B623F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Wnioskodawca zakłada działalność gospodarcz</w:t>
            </w:r>
            <w:r w:rsidR="00EC637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ą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 </w:t>
            </w:r>
            <w:r w:rsidR="001F4C53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raz pierwszy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5ADB99" w14:textId="77777777" w:rsidR="008B623F" w:rsidRPr="00F97738" w:rsidRDefault="00E004E0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  <w:r w:rsidR="008B623F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76A76481" w14:textId="04D4AD8F" w:rsidR="008B623F" w:rsidRPr="00F97738" w:rsidRDefault="008B623F" w:rsidP="00A75EBE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Kryterium premiować będzie tych wnioskodawców, którzy do chwili złożenia wniosku </w:t>
            </w:r>
            <w:r w:rsidR="00C60FDD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nie prowadzili działalności gospodarczej </w:t>
            </w: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a poprzez założenie działalności przyczynią się do </w:t>
            </w: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lastRenderedPageBreak/>
              <w:t xml:space="preserve">rozwoju </w:t>
            </w:r>
            <w:proofErr w:type="spellStart"/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mikroprzedsiębiorczości</w:t>
            </w:r>
            <w:proofErr w:type="spellEnd"/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na obszarze</w:t>
            </w:r>
            <w:r w:rsidR="00A75EBE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objętym LSR</w:t>
            </w:r>
            <w:r w:rsidR="00C60FDD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.</w:t>
            </w:r>
            <w:r w:rsidR="00BE55CA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</w:p>
        </w:tc>
        <w:tc>
          <w:tcPr>
            <w:tcW w:w="5074" w:type="dxa"/>
            <w:shd w:val="clear" w:color="auto" w:fill="auto"/>
          </w:tcPr>
          <w:p w14:paraId="0EC7A699" w14:textId="61408BD9" w:rsidR="008B623F" w:rsidRPr="00F97738" w:rsidRDefault="008B623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 xml:space="preserve">Weryfikacja: </w:t>
            </w:r>
            <w:r w:rsidR="00714FD4" w:rsidRP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>oświadczenie wnioskodawcy składane pod rygorem odpowiedzialności karnej.</w:t>
            </w:r>
            <w:r w:rsidR="00936860" w:rsidRPr="00A8636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7A4C9D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Oświadczenie stanowi odrębny załącznik do wniosku.</w:t>
            </w:r>
            <w:r w:rsidR="007A4C9D" w:rsidRPr="00F97738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</w:p>
          <w:p w14:paraId="1C4EE745" w14:textId="77777777" w:rsidR="008B623F" w:rsidRPr="00F97738" w:rsidRDefault="008B623F" w:rsidP="008B623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Punktacja przyznawana będzie w następujący sposób:</w:t>
            </w:r>
          </w:p>
          <w:p w14:paraId="60D1108B" w14:textId="77777777" w:rsidR="00A75EBE" w:rsidRPr="00A75EBE" w:rsidRDefault="00D9512A" w:rsidP="00A75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1</w:t>
            </w:r>
            <w:r w:rsidR="008B623F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5 punktów</w:t>
            </w:r>
            <w:r w:rsidR="00936860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8B623F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jeśli wnioskodawca nigdy nie prowadził działalności </w:t>
            </w:r>
          </w:p>
          <w:p w14:paraId="30E24E06" w14:textId="37E1F5E4" w:rsidR="008B623F" w:rsidRPr="00A75EBE" w:rsidRDefault="008B623F" w:rsidP="00A75EBE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0 punktów</w:t>
            </w:r>
            <w:r w:rsidR="00936860"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Pr="00A75EB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jeśli wnioskodawca </w:t>
            </w:r>
            <w:r w:rsidR="00AF5757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nie spełnia warunku.</w:t>
            </w:r>
          </w:p>
        </w:tc>
        <w:tc>
          <w:tcPr>
            <w:tcW w:w="2216" w:type="dxa"/>
            <w:shd w:val="clear" w:color="auto" w:fill="auto"/>
          </w:tcPr>
          <w:p w14:paraId="74D809CD" w14:textId="77777777" w:rsidR="008B623F" w:rsidRPr="00F97738" w:rsidRDefault="008B623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1904D579" w14:textId="77777777" w:rsidTr="003413E4">
        <w:trPr>
          <w:trHeight w:val="128"/>
        </w:trPr>
        <w:tc>
          <w:tcPr>
            <w:tcW w:w="581" w:type="dxa"/>
            <w:shd w:val="clear" w:color="auto" w:fill="auto"/>
          </w:tcPr>
          <w:p w14:paraId="01B6A2D4" w14:textId="2B8AA005" w:rsidR="00BD39EF" w:rsidRPr="00F97738" w:rsidRDefault="00BD39E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680" w:type="dxa"/>
            <w:shd w:val="clear" w:color="auto" w:fill="FFFFFF"/>
          </w:tcPr>
          <w:p w14:paraId="56915470" w14:textId="0EEBE2CD" w:rsidR="00BD39EF" w:rsidRPr="00F97738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Do wniosku załączono dokumenty potwierdzające założone koszty.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613A16" w14:textId="2EDCFB4B" w:rsidR="00BD39EF" w:rsidRPr="00F97738" w:rsidRDefault="00BD39EF" w:rsidP="00B56C8D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3222DBBE" w14:textId="02D16490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ramach kryterium preferowane będą operacje, w których będzie można określić racjonalność wydatków dla danej operacji. Dane kryterium będzie weryfikowane/ oceniane na podstawie wniosku o 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przyznanie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załączników do wniosku - dokumenty potwierdzające poziom cen dla każdego z zaplanowanych wydatków</w:t>
            </w:r>
            <w:r w:rsidR="0093686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stanowiących podstawę wyliczenia kwoty pomocy</w:t>
            </w: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. Dokumentami tymi są oferty</w:t>
            </w:r>
            <w:r w:rsidR="00B20C80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B20C80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tylko na wzorze udostępnionym przez LGD</w:t>
            </w:r>
            <w:r w:rsidR="00192E52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lub dokumenty równoważne zawierające wskazane elementy</w:t>
            </w:r>
            <w:r w:rsidR="00A86364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 w:rsidR="00B20C80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lub </w:t>
            </w:r>
            <w:r w:rsidR="00936860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kosztorys</w:t>
            </w:r>
            <w:r w:rsidR="00B20C80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 xml:space="preserve"> prac inwestycyjnych</w:t>
            </w:r>
            <w:r w:rsidR="00936860" w:rsidRPr="00881FAD">
              <w:rPr>
                <w:rFonts w:ascii="Arial" w:hAnsi="Arial" w:cs="Arial"/>
                <w:color w:val="000000" w:themeColor="text1"/>
                <w:sz w:val="18"/>
                <w:szCs w:val="18"/>
                <w:highlight w:val="green"/>
              </w:rPr>
              <w:t>.</w:t>
            </w:r>
          </w:p>
          <w:p w14:paraId="7E54DA84" w14:textId="77777777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Przyjęte założenia pozwolą punktować operacje, które udokumentują, że założone we wniosku kwoty są kosztami racjonalnymi, rynkowymi. </w:t>
            </w:r>
          </w:p>
          <w:p w14:paraId="4CFE2FF7" w14:textId="184FF9A2" w:rsidR="00BD39EF" w:rsidRPr="00F97738" w:rsidRDefault="00BD39EF" w:rsidP="00BD39EF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Dane kryterium jest mierzalne, pozwalające przypisać operacji określoną ilość punktów na podstawie dokumentacji (wniosku i załączników), adekwatne do analizy SWOT, która wskazuje na duże zapotrzebowanie społeczności w pozyskiwaniu środków unijnych</w:t>
            </w:r>
          </w:p>
        </w:tc>
        <w:tc>
          <w:tcPr>
            <w:tcW w:w="5074" w:type="dxa"/>
            <w:shd w:val="clear" w:color="auto" w:fill="auto"/>
          </w:tcPr>
          <w:p w14:paraId="2671B87C" w14:textId="392C6136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Weryfikacja: na podstawie 2  </w:t>
            </w:r>
            <w:r w:rsidR="00936860"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dokumentów</w:t>
            </w: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dla każdego wydatku</w:t>
            </w:r>
            <w:r w:rsidR="00936860"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stanowiącego podstawę wyliczenia kwoty pomocy</w:t>
            </w:r>
            <w:r w:rsidR="00A75EBE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</w:t>
            </w:r>
            <w:r w:rsidR="00A75EBE" w:rsidRPr="00A75EBE">
              <w:rPr>
                <w:rFonts w:ascii="Arial" w:eastAsiaTheme="minorHAnsi" w:hAnsi="Arial" w:cs="Arial"/>
                <w:bCs/>
                <w:color w:val="000000" w:themeColor="text1"/>
                <w:sz w:val="20"/>
                <w:highlight w:val="green"/>
              </w:rPr>
              <w:t>lub kosztorysu</w:t>
            </w: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.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Jednakże, aby </w:t>
            </w:r>
            <w:r w:rsidR="00936860"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wskazane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. dokumenty mogły zostać uznane za </w:t>
            </w:r>
            <w:r w:rsidRPr="00F97738">
              <w:rPr>
                <w:rFonts w:ascii="Arial" w:hAnsi="Arial" w:cs="Arial"/>
                <w:b/>
                <w:iCs/>
                <w:color w:val="000000" w:themeColor="text1"/>
                <w:sz w:val="20"/>
                <w:szCs w:val="20"/>
                <w:lang w:eastAsia="ar-SA"/>
              </w:rPr>
              <w:t>kompletne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, a tym samy</w:t>
            </w:r>
            <w:r w:rsidR="00936860"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m</w:t>
            </w: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dopuszczalne jako załączniki do wniosku powinny zawierać takie elementy jak:</w:t>
            </w:r>
          </w:p>
          <w:p w14:paraId="73BF374C" w14:textId="77777777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wskazanie sprzedawcy/ usługodawcy,</w:t>
            </w:r>
          </w:p>
          <w:p w14:paraId="09B95F0A" w14:textId="77777777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-przedmiot zakupu</w:t>
            </w:r>
          </w:p>
          <w:p w14:paraId="277FC2FF" w14:textId="22DCB230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-podstawowe parametry techniczne sprzętu/charakterystykę ( np. moc, wielkość, prędkość itp.) </w:t>
            </w:r>
            <w:r w:rsidR="001C42C2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highlight w:val="green"/>
                <w:lang w:eastAsia="ar-SA"/>
              </w:rPr>
              <w:t>Min. 3 p</w:t>
            </w:r>
            <w:r w:rsidR="005325DA" w:rsidRPr="005325DA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highlight w:val="green"/>
                <w:lang w:eastAsia="ar-SA"/>
              </w:rPr>
              <w:t>arametry spójne ze wskazanymi w tabeli 7.1 biznesplanu</w:t>
            </w:r>
            <w:r w:rsidR="005325DA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.</w:t>
            </w:r>
          </w:p>
          <w:p w14:paraId="6B688B99" w14:textId="77777777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 cenę netto oraz brutto bądź stawkę podatku VAT,</w:t>
            </w:r>
          </w:p>
          <w:p w14:paraId="752669F2" w14:textId="1EA772FE" w:rsidR="001364C8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>-podpis oferenta</w:t>
            </w:r>
            <w:r w:rsidR="00E70FEB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79CDB4DE" w14:textId="5FF94856" w:rsidR="001364C8" w:rsidRPr="00F97738" w:rsidRDefault="001364C8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</w:pPr>
            <w:r w:rsidRPr="00881FAD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highlight w:val="green"/>
                <w:lang w:eastAsia="ar-SA"/>
              </w:rPr>
              <w:t>Oferty muszą być sporządzone na wzorze LGD</w:t>
            </w:r>
            <w:r w:rsidR="00D04BAE" w:rsidRPr="00881FAD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highlight w:val="green"/>
                <w:lang w:eastAsia="ar-SA"/>
              </w:rPr>
              <w:t xml:space="preserve"> lub dokumencie równoważnym ale zawierać wszystkie wymienione elementy</w:t>
            </w:r>
            <w:r w:rsidRPr="00881FAD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highlight w:val="green"/>
                <w:lang w:eastAsia="ar-SA"/>
              </w:rPr>
              <w:t>.</w:t>
            </w:r>
            <w:r w:rsidR="00A86364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24C05A0E" w14:textId="0E3CA6A1" w:rsidR="00BD39EF" w:rsidRPr="00F97738" w:rsidRDefault="00BD39EF" w:rsidP="00BD39EF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 w:themeColor="text1"/>
                <w:sz w:val="24"/>
                <w:szCs w:val="28"/>
                <w:lang w:eastAsia="ar-SA"/>
              </w:rPr>
            </w:pPr>
            <w:r w:rsidRPr="00F97738">
              <w:rPr>
                <w:rFonts w:ascii="Arial" w:hAnsi="Arial" w:cs="Arial"/>
                <w:bCs/>
                <w:iCs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  <w:p w14:paraId="024B8D1A" w14:textId="5508F957" w:rsidR="00BD39EF" w:rsidRPr="00F97738" w:rsidRDefault="001364C8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</w:pPr>
            <w:r w:rsidRPr="00881FAD">
              <w:rPr>
                <w:rFonts w:ascii="Arial" w:eastAsiaTheme="minorHAnsi" w:hAnsi="Arial" w:cs="Arial"/>
                <w:bCs/>
                <w:color w:val="000000" w:themeColor="text1"/>
                <w:sz w:val="20"/>
                <w:highlight w:val="green"/>
              </w:rPr>
              <w:t>W przypadku wezwania przez LGD do uzupełnienia oferty na etapie weryfikacji wstępnej wniosku punkty nie będą przyznane.</w:t>
            </w: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 xml:space="preserve"> </w:t>
            </w:r>
          </w:p>
          <w:p w14:paraId="4CD15DF7" w14:textId="31B0BD6C" w:rsidR="00936860" w:rsidRPr="00F97738" w:rsidRDefault="00936860" w:rsidP="00BD39EF">
            <w:pPr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</w:pPr>
            <w:r w:rsidRPr="00F97738">
              <w:rPr>
                <w:rFonts w:ascii="Arial" w:eastAsiaTheme="minorHAnsi" w:hAnsi="Arial" w:cs="Arial"/>
                <w:bCs/>
                <w:color w:val="000000" w:themeColor="text1"/>
                <w:sz w:val="20"/>
              </w:rPr>
              <w:t>Punktacja przyznawana będzie w następujący sposób:</w:t>
            </w:r>
          </w:p>
          <w:p w14:paraId="2770D2E6" w14:textId="7B5414C0" w:rsidR="00BD39EF" w:rsidRPr="005325DA" w:rsidRDefault="00BD39EF" w:rsidP="005325DA">
            <w:pPr>
              <w:pStyle w:val="Akapitzlist"/>
              <w:numPr>
                <w:ilvl w:val="0"/>
                <w:numId w:val="8"/>
              </w:num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325DA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5 pkt 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Wnioskodawca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dostarczy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ł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min </w:t>
            </w:r>
            <w:r w:rsidR="002F2FAC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2 </w:t>
            </w:r>
            <w:r w:rsidR="002F2FAC" w:rsidRPr="00881FA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highlight w:val="green"/>
              </w:rPr>
              <w:t>oferty cenowe</w:t>
            </w:r>
            <w:r w:rsidR="00D04BAE" w:rsidRPr="00881FA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highlight w:val="green"/>
              </w:rPr>
              <w:t xml:space="preserve"> lub kosztorys</w:t>
            </w:r>
            <w:r w:rsidR="002F2FAC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potwierdzając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przyjęty poziom cen  d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la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każdego kosztu</w:t>
            </w:r>
            <w:r w:rsidR="00803E58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stanowiącego podstawę wyliczenia kwoty pomocy. </w:t>
            </w:r>
          </w:p>
          <w:p w14:paraId="6D0C12C0" w14:textId="5EF0FC55" w:rsidR="00BD39EF" w:rsidRPr="005325DA" w:rsidRDefault="00BD39EF" w:rsidP="005325DA">
            <w:pPr>
              <w:pStyle w:val="Akapitzlist"/>
              <w:numPr>
                <w:ilvl w:val="0"/>
                <w:numId w:val="8"/>
              </w:numPr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325DA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</w:rPr>
              <w:t xml:space="preserve">0 pkt 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– 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Wnioskodawca 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 nie dostarczył 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min. 2 </w:t>
            </w:r>
            <w:r w:rsidR="00A86364" w:rsidRPr="00881FA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highlight w:val="green"/>
              </w:rPr>
              <w:t xml:space="preserve">oferty cenowe </w:t>
            </w:r>
            <w:r w:rsidR="00D04BAE" w:rsidRPr="00881FAD">
              <w:rPr>
                <w:rFonts w:ascii="Arial" w:eastAsiaTheme="minorHAnsi" w:hAnsi="Arial" w:cs="Arial"/>
                <w:color w:val="000000" w:themeColor="text1"/>
                <w:sz w:val="20"/>
                <w:szCs w:val="20"/>
                <w:highlight w:val="green"/>
              </w:rPr>
              <w:t>lub kosztorys</w:t>
            </w:r>
            <w:r w:rsidR="00D04BAE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potwierdzając</w:t>
            </w:r>
            <w:r w:rsidR="00A86364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e</w:t>
            </w:r>
            <w:r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 poziom cen </w:t>
            </w:r>
            <w:r w:rsidR="00936860" w:rsidRPr="005325DA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 xml:space="preserve">dla kosztów stanowiących podstawę wyliczenia kwoty pomocy. </w:t>
            </w:r>
          </w:p>
          <w:p w14:paraId="4E82E5A1" w14:textId="77777777" w:rsidR="00BD39EF" w:rsidRPr="00F97738" w:rsidRDefault="00BD39EF" w:rsidP="00B56C8D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6" w:type="dxa"/>
            <w:shd w:val="clear" w:color="auto" w:fill="auto"/>
          </w:tcPr>
          <w:p w14:paraId="0EB03599" w14:textId="77777777" w:rsidR="00BD39EF" w:rsidRPr="00F97738" w:rsidRDefault="00BD39EF" w:rsidP="00B56C8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F97738" w:rsidRPr="00F97738" w14:paraId="0A25F230" w14:textId="77777777" w:rsidTr="003413E4">
        <w:trPr>
          <w:trHeight w:val="401"/>
        </w:trPr>
        <w:tc>
          <w:tcPr>
            <w:tcW w:w="3261" w:type="dxa"/>
            <w:gridSpan w:val="2"/>
            <w:tcBorders>
              <w:bottom w:val="double" w:sz="4" w:space="0" w:color="auto"/>
            </w:tcBorders>
            <w:shd w:val="clear" w:color="auto" w:fill="BDD6EE"/>
            <w:vAlign w:val="center"/>
          </w:tcPr>
          <w:p w14:paraId="634C2F81" w14:textId="77777777" w:rsidR="00EC6370" w:rsidRPr="00F97738" w:rsidRDefault="00EC6370" w:rsidP="00EC6370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C75854" w14:textId="074A7ABC" w:rsidR="00EC6370" w:rsidRPr="00F97738" w:rsidRDefault="00632361" w:rsidP="008A7A97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1E5814" w:rsidRPr="00F97738"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692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06948103" w14:textId="77777777" w:rsidR="00EC6370" w:rsidRPr="00F97738" w:rsidRDefault="00EC6370" w:rsidP="00EC637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6CC8C159" w14:textId="5C5B8214" w:rsidR="002D510D" w:rsidRDefault="009C662F">
      <w:r>
        <w:t>Minimum punktowe – 45 p.</w:t>
      </w:r>
    </w:p>
    <w:p w14:paraId="6CAE7016" w14:textId="77777777" w:rsidR="000F43C5" w:rsidRDefault="000F43C5">
      <w:bookmarkStart w:id="1" w:name="_GoBack"/>
      <w:bookmarkEnd w:id="1"/>
    </w:p>
    <w:p w14:paraId="7B0EE676" w14:textId="6FB32612" w:rsidR="000F43C5" w:rsidRDefault="00881FAD">
      <w:r>
        <w:t>09.09</w:t>
      </w:r>
      <w:r w:rsidR="00CC6C67">
        <w:t>.2021</w:t>
      </w:r>
    </w:p>
    <w:sectPr w:rsidR="000F43C5" w:rsidSect="002A4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4088"/>
    <w:multiLevelType w:val="hybridMultilevel"/>
    <w:tmpl w:val="DBE6AC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C6FC5"/>
    <w:multiLevelType w:val="hybridMultilevel"/>
    <w:tmpl w:val="FE105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679D1"/>
    <w:multiLevelType w:val="hybridMultilevel"/>
    <w:tmpl w:val="D42E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B24"/>
    <w:multiLevelType w:val="hybridMultilevel"/>
    <w:tmpl w:val="F124A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F77F6"/>
    <w:multiLevelType w:val="hybridMultilevel"/>
    <w:tmpl w:val="446AE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344CB"/>
    <w:multiLevelType w:val="hybridMultilevel"/>
    <w:tmpl w:val="B044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24E64"/>
    <w:multiLevelType w:val="hybridMultilevel"/>
    <w:tmpl w:val="6D302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46730"/>
    <w:multiLevelType w:val="hybridMultilevel"/>
    <w:tmpl w:val="1902B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0D"/>
    <w:rsid w:val="000208D3"/>
    <w:rsid w:val="000525E1"/>
    <w:rsid w:val="00074CE2"/>
    <w:rsid w:val="00081BB9"/>
    <w:rsid w:val="000F43C5"/>
    <w:rsid w:val="000F5332"/>
    <w:rsid w:val="001364C8"/>
    <w:rsid w:val="00192E52"/>
    <w:rsid w:val="00194828"/>
    <w:rsid w:val="0019606E"/>
    <w:rsid w:val="001C42C2"/>
    <w:rsid w:val="001E5814"/>
    <w:rsid w:val="001F4C53"/>
    <w:rsid w:val="00207E08"/>
    <w:rsid w:val="00247829"/>
    <w:rsid w:val="002A4C77"/>
    <w:rsid w:val="002D510D"/>
    <w:rsid w:val="002E69C0"/>
    <w:rsid w:val="002F2FAC"/>
    <w:rsid w:val="002F64C2"/>
    <w:rsid w:val="003413E4"/>
    <w:rsid w:val="003A790D"/>
    <w:rsid w:val="00401D5E"/>
    <w:rsid w:val="004944A9"/>
    <w:rsid w:val="005325DA"/>
    <w:rsid w:val="00620A6C"/>
    <w:rsid w:val="00632361"/>
    <w:rsid w:val="0064264A"/>
    <w:rsid w:val="006F7363"/>
    <w:rsid w:val="00705C88"/>
    <w:rsid w:val="00714FD4"/>
    <w:rsid w:val="007804F3"/>
    <w:rsid w:val="007A4C9D"/>
    <w:rsid w:val="007A6BBF"/>
    <w:rsid w:val="007F63F4"/>
    <w:rsid w:val="00803E58"/>
    <w:rsid w:val="00821D8C"/>
    <w:rsid w:val="008550D7"/>
    <w:rsid w:val="00856A96"/>
    <w:rsid w:val="0086781C"/>
    <w:rsid w:val="00881FAD"/>
    <w:rsid w:val="008A7A97"/>
    <w:rsid w:val="008B623F"/>
    <w:rsid w:val="008E412C"/>
    <w:rsid w:val="008F0E93"/>
    <w:rsid w:val="008F1AD3"/>
    <w:rsid w:val="00936860"/>
    <w:rsid w:val="009468C4"/>
    <w:rsid w:val="009C5EC2"/>
    <w:rsid w:val="009C662F"/>
    <w:rsid w:val="009D7FD7"/>
    <w:rsid w:val="009F1F82"/>
    <w:rsid w:val="00A50E56"/>
    <w:rsid w:val="00A75EBE"/>
    <w:rsid w:val="00A86364"/>
    <w:rsid w:val="00AF44E0"/>
    <w:rsid w:val="00AF5757"/>
    <w:rsid w:val="00B20C80"/>
    <w:rsid w:val="00B22051"/>
    <w:rsid w:val="00B56942"/>
    <w:rsid w:val="00BD39EF"/>
    <w:rsid w:val="00BE55CA"/>
    <w:rsid w:val="00C14910"/>
    <w:rsid w:val="00C4085A"/>
    <w:rsid w:val="00C60FDD"/>
    <w:rsid w:val="00CB3BAD"/>
    <w:rsid w:val="00CC6C67"/>
    <w:rsid w:val="00CE0329"/>
    <w:rsid w:val="00D04BAE"/>
    <w:rsid w:val="00D11F09"/>
    <w:rsid w:val="00D9512A"/>
    <w:rsid w:val="00E004E0"/>
    <w:rsid w:val="00E6401E"/>
    <w:rsid w:val="00E70FEB"/>
    <w:rsid w:val="00E84E03"/>
    <w:rsid w:val="00EC6370"/>
    <w:rsid w:val="00F341BE"/>
    <w:rsid w:val="00F376A0"/>
    <w:rsid w:val="00F46D9D"/>
    <w:rsid w:val="00F97738"/>
    <w:rsid w:val="00FD58E9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65C9"/>
  <w15:docId w15:val="{2459283F-2B94-44CF-8D03-C11BA8CB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1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E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412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41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412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F5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65C73-A64A-4F36-B1D7-AC3E7E5E0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2003</Words>
  <Characters>12021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WeronikaP</dc:creator>
  <cp:lastModifiedBy>LGD Pałuki</cp:lastModifiedBy>
  <cp:revision>6</cp:revision>
  <cp:lastPrinted>2021-09-27T08:26:00Z</cp:lastPrinted>
  <dcterms:created xsi:type="dcterms:W3CDTF">2021-09-08T06:58:00Z</dcterms:created>
  <dcterms:modified xsi:type="dcterms:W3CDTF">2021-09-27T08:30:00Z</dcterms:modified>
</cp:coreProperties>
</file>