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D1DD6" w14:textId="285B2EED" w:rsidR="001E2E43" w:rsidRDefault="001E2E43" w:rsidP="001E2E43">
      <w:pPr>
        <w:jc w:val="right"/>
      </w:pPr>
      <w:bookmarkStart w:id="0" w:name="_GoBack"/>
      <w:bookmarkEnd w:id="0"/>
      <w:r>
        <w:t>18.10.2021</w:t>
      </w:r>
    </w:p>
    <w:p w14:paraId="4D23FC2F" w14:textId="03305C40" w:rsidR="001E2E43" w:rsidRDefault="001E2E43" w:rsidP="001E2E43">
      <w:pPr>
        <w:jc w:val="right"/>
      </w:pPr>
      <w:r w:rsidRPr="001E2E43">
        <w:t xml:space="preserve">Załącznik nr </w:t>
      </w:r>
      <w:r>
        <w:t>4</w:t>
      </w:r>
      <w:r w:rsidRPr="001E2E43">
        <w:t xml:space="preserve"> 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2014-2020.</w:t>
      </w:r>
    </w:p>
    <w:p w14:paraId="4630D860" w14:textId="3C59902F" w:rsidR="00821D8C" w:rsidRDefault="00821D8C" w:rsidP="00821D8C">
      <w:pPr>
        <w:jc w:val="center"/>
      </w:pPr>
      <w:r>
        <w:t>Lokalna Grupa Działania Pałuki – Wspólna Sprawa</w:t>
      </w:r>
    </w:p>
    <w:p w14:paraId="0B4ACF86" w14:textId="4A4FD3B7" w:rsidR="00821D8C" w:rsidRDefault="00821D8C" w:rsidP="00821D8C">
      <w:pPr>
        <w:jc w:val="center"/>
      </w:pPr>
    </w:p>
    <w:tbl>
      <w:tblPr>
        <w:tblW w:w="15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417"/>
        <w:gridCol w:w="3402"/>
        <w:gridCol w:w="5074"/>
        <w:gridCol w:w="2216"/>
      </w:tblGrid>
      <w:tr w:rsidR="00F97738" w:rsidRPr="00F97738" w14:paraId="185CBC43" w14:textId="77777777" w:rsidTr="003413E4">
        <w:trPr>
          <w:trHeight w:val="128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31DC0AC6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6196267E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Maks. liczba pkt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584FA470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 kryterium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02642F6A" w14:textId="77777777" w:rsidR="002D510D" w:rsidRPr="00F97738" w:rsidRDefault="002D510D" w:rsidP="00B56C8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Sposób weryfikacji i sposób oceny/punktowania 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DEEAF6"/>
          </w:tcPr>
          <w:p w14:paraId="587B9700" w14:textId="77777777" w:rsidR="002D510D" w:rsidRPr="00F97738" w:rsidRDefault="002D510D" w:rsidP="00B56C8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Znaczenie</w:t>
            </w:r>
            <w:r w:rsidRPr="00F97738">
              <w:rPr>
                <w:b/>
                <w:color w:val="000000" w:themeColor="text1"/>
                <w:sz w:val="18"/>
                <w:szCs w:val="18"/>
              </w:rPr>
              <w:t xml:space="preserve"> kryterium</w:t>
            </w:r>
          </w:p>
        </w:tc>
      </w:tr>
      <w:tr w:rsidR="00F97738" w:rsidRPr="00F97738" w14:paraId="636DBC4E" w14:textId="77777777" w:rsidTr="00B56C8D">
        <w:trPr>
          <w:trHeight w:val="262"/>
        </w:trPr>
        <w:tc>
          <w:tcPr>
            <w:tcW w:w="15370" w:type="dxa"/>
            <w:gridSpan w:val="6"/>
            <w:tcBorders>
              <w:top w:val="double" w:sz="4" w:space="0" w:color="auto"/>
            </w:tcBorders>
            <w:shd w:val="clear" w:color="auto" w:fill="DEEAF6"/>
          </w:tcPr>
          <w:p w14:paraId="38AF17FA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1.1.1Wsparcie dla zakładania działalności gospodarczej na obszarze LSR</w:t>
            </w:r>
          </w:p>
          <w:p w14:paraId="3037B028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08E10785" w14:textId="77777777" w:rsidTr="003413E4">
        <w:trPr>
          <w:trHeight w:val="1162"/>
        </w:trPr>
        <w:tc>
          <w:tcPr>
            <w:tcW w:w="581" w:type="dxa"/>
            <w:shd w:val="clear" w:color="auto" w:fill="FFD966"/>
          </w:tcPr>
          <w:p w14:paraId="03DDEB0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14:paraId="738D6A1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przewidział wykorzystanie logotypu LGD zgodnie z wytycznymi</w:t>
            </w:r>
          </w:p>
          <w:p w14:paraId="132AECD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CBAAEC" w14:textId="77777777" w:rsidR="002D510D" w:rsidRPr="00F97738" w:rsidRDefault="00714FD4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5B046E6" w14:textId="39331729" w:rsidR="000F5332" w:rsidRPr="00F17634" w:rsidRDefault="002D510D" w:rsidP="000F5332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Wytyczne dotyczą „</w:t>
            </w:r>
            <w:r w:rsidR="000F5332" w:rsidRPr="00F1763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Księgi wizualizacji znaku PROW 2014-2020” </w:t>
            </w:r>
          </w:p>
          <w:p w14:paraId="506904E3" w14:textId="369CD20D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4" w:type="dxa"/>
            <w:shd w:val="clear" w:color="auto" w:fill="auto"/>
          </w:tcPr>
          <w:p w14:paraId="67ED5AB2" w14:textId="0625308A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Informacje zawarte we wniosku o </w:t>
            </w:r>
            <w:r w:rsidR="00821D8C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="00F9773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polu B.III.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F9773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.4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1EE15DF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35C9DDD6" w14:textId="79CBE53C" w:rsidR="002D510D" w:rsidRPr="00F17634" w:rsidRDefault="00714FD4" w:rsidP="000F53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</w:t>
            </w:r>
            <w:r w:rsidR="00821D8C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wskazany we wniosku sposób wykorzystania logotypu.</w:t>
            </w:r>
          </w:p>
          <w:p w14:paraId="38399818" w14:textId="77777777" w:rsidR="000F5332" w:rsidRPr="00F17634" w:rsidRDefault="000F5332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43B4BD" w14:textId="1E2623D6" w:rsidR="002D510D" w:rsidRPr="00F17634" w:rsidRDefault="002D510D" w:rsidP="000F53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jeśli Wnioskodawca nie przewidział wykorzystania logotypu lub nie wskazał konkretnego sposobu wykorzystania logotypu.</w:t>
            </w:r>
          </w:p>
          <w:p w14:paraId="18A9A732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7FE0D6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27E14A0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horyzontalne</w:t>
            </w:r>
          </w:p>
        </w:tc>
      </w:tr>
      <w:tr w:rsidR="00F97738" w:rsidRPr="00F97738" w14:paraId="07E89EF8" w14:textId="77777777" w:rsidTr="003413E4">
        <w:trPr>
          <w:trHeight w:val="758"/>
        </w:trPr>
        <w:tc>
          <w:tcPr>
            <w:tcW w:w="581" w:type="dxa"/>
            <w:shd w:val="clear" w:color="auto" w:fill="FFD966"/>
          </w:tcPr>
          <w:p w14:paraId="3BEA3629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14:paraId="232C894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przewidział wykorzystywanie rozwiązań sprzyjających ochronie środowiska i/lub podnoszeniu poziomu świadomości ekologicznej.</w:t>
            </w:r>
          </w:p>
          <w:p w14:paraId="7E9A4B9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052DCE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F1B6A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F80C1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F5A3A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939BD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CE4D6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7BB75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F32963" w14:textId="4EFB01F0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  <w:p w14:paraId="43355F6B" w14:textId="18ED9D6F" w:rsidR="008F1AD3" w:rsidRPr="00F97738" w:rsidRDefault="001E5814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19A6B67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operacje, w których wnioskodawca wykaże się świadomym działaniem na rzecz poprawy stanu środowiska naturalnego na obszarze objętym LSR, a sama operacja w znaczny sposób przyczyni się do ochrony środowiska. Kryterium rekomendowane w PROW.</w:t>
            </w:r>
          </w:p>
        </w:tc>
        <w:tc>
          <w:tcPr>
            <w:tcW w:w="5074" w:type="dxa"/>
            <w:shd w:val="clear" w:color="auto" w:fill="auto"/>
          </w:tcPr>
          <w:p w14:paraId="4C173EF6" w14:textId="29BD428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oparciu o i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nformacje zawarte we wniosku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biznesplanie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8F1AD3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Dominujący zakres operacji powinien mieć związek przyczynowy z ochroną </w:t>
            </w:r>
            <w:r w:rsidR="00F9773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środowiska</w:t>
            </w:r>
            <w:r w:rsidR="008F1AD3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2D7369D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56F74F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745A561B" w14:textId="72A587BC" w:rsidR="002D510D" w:rsidRPr="00F17634" w:rsidRDefault="001E5814" w:rsidP="000F53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ów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wskazanie </w:t>
            </w:r>
          </w:p>
          <w:p w14:paraId="2B718B4E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681AC0" w14:textId="6AC8A7F7" w:rsidR="000F5332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- kosztów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21D8C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przyczyniających się do ochrony środowiska i/lub podnoszenia świadomości ekologicznej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 W polu B.IIII.1.4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wniosku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wskazuje się, które pozycje z 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tabeli 7.1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biznesplanu (wskazanie konkretnych pozycji z zestawienia rzeczowo-finansowego/kosztorysu wraz z uzasadnieniem)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dotyczą</w:t>
            </w:r>
            <w:r w:rsidR="000F5332" w:rsidRPr="00F17634">
              <w:t xml:space="preserve"> 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przyczyniania się do ochrony środowiska i/lub podnoszenia świadomości ekologicznej.</w:t>
            </w:r>
          </w:p>
          <w:p w14:paraId="3DFA04D4" w14:textId="189A5F32" w:rsidR="002D510D" w:rsidRPr="00F17634" w:rsidRDefault="000F5332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Wydatki te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muszą być 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poziomie co najmniej 10.000 zł łącznie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B981C85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8AFC8C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i/lub</w:t>
            </w:r>
          </w:p>
          <w:p w14:paraId="500765B8" w14:textId="330568A8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- uzasadnienia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polu B.III.1.4 wniosku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potwierdzenie, iż charakter działalności związanej z operacją przyczyni się do ochrony środowiska</w:t>
            </w:r>
            <w:r w:rsidR="00821D8C" w:rsidRPr="00F17634">
              <w:rPr>
                <w:color w:val="000000" w:themeColor="text1"/>
              </w:rPr>
              <w:t xml:space="preserve"> </w:t>
            </w:r>
            <w:r w:rsidR="00821D8C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i/lub podnoszenia świadomości ekologicznej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1E5FF4AF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  <w:p w14:paraId="623AA38E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 </w:t>
            </w:r>
          </w:p>
          <w:p w14:paraId="7EA17173" w14:textId="77777777" w:rsidR="002D510D" w:rsidRPr="00F17634" w:rsidRDefault="002D510D" w:rsidP="00F341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0 punktów jeśli wnioskodawca nie uwzględnił w projekcie wykorzystywania rozwiązań sprzyjających ochronie środowiska i podnoszenia poziomu świadomości ekologicznej. </w:t>
            </w:r>
          </w:p>
          <w:p w14:paraId="0E9A57EF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69ADAA" w14:textId="5A0F4130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jest subiektywną oceną każdego członka Rady</w:t>
            </w:r>
            <w:r w:rsidR="00856A96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E382973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7B9B17AF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Kryterium horyzontalne</w:t>
            </w:r>
          </w:p>
        </w:tc>
      </w:tr>
      <w:tr w:rsidR="00F97738" w:rsidRPr="00F97738" w14:paraId="21B5E332" w14:textId="77777777" w:rsidTr="003413E4">
        <w:trPr>
          <w:trHeight w:val="128"/>
        </w:trPr>
        <w:tc>
          <w:tcPr>
            <w:tcW w:w="581" w:type="dxa"/>
            <w:shd w:val="clear" w:color="auto" w:fill="FFD966"/>
          </w:tcPr>
          <w:p w14:paraId="02275675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14:paraId="3A2C691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wziął udział w szkoleniu/doradztwie organizowanym przez LGD w ramach danego naboru wniosków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9A0F5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5101C845" w14:textId="77777777" w:rsidR="00F341BE" w:rsidRPr="00F17634" w:rsidRDefault="002D510D" w:rsidP="00F341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wnioskodawców, którzy poprzez udzia</w:t>
            </w:r>
            <w:r w:rsidR="00E84E03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ł w szkoleniu</w:t>
            </w:r>
            <w:r w:rsidR="00A86364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/doradztwie</w:t>
            </w:r>
            <w:r w:rsidR="00E84E03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dotyczącym naboru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podnieśli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swoj</w:t>
            </w:r>
            <w:r w:rsidR="0024782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ą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wiedzę i kompetencj</w:t>
            </w:r>
            <w:r w:rsidR="0024782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przełoży się na jakość projektów.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BBA9ADB" w14:textId="0A4D42A1" w:rsidR="00F341BE" w:rsidRPr="00F17634" w:rsidRDefault="00F341BE" w:rsidP="00F341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Ze szkolenia/doradztwa korzysta wnioskodawca lub pełnomocnik lub osoba wskazana we wniosku jako osoba do kontaktu.</w:t>
            </w:r>
          </w:p>
          <w:p w14:paraId="5630A78D" w14:textId="50D38F3C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4" w:type="dxa"/>
            <w:shd w:val="clear" w:color="auto" w:fill="FFFFFF"/>
          </w:tcPr>
          <w:p w14:paraId="2398B02E" w14:textId="4749EF94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List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obecności ze szkoleń/oświadczenie o odbytym doradztwie w biurze LGD.</w:t>
            </w:r>
            <w:r w:rsidR="0024782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Oświadczenie 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lista </w:t>
            </w:r>
            <w:r w:rsidR="0024782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jest wewnętrznym dokumentem LGD.</w:t>
            </w:r>
          </w:p>
          <w:p w14:paraId="33AB9407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5A96AD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2653454A" w14:textId="77777777" w:rsidR="002D510D" w:rsidRPr="00F17634" w:rsidRDefault="002D510D" w:rsidP="00F341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punktów za potwierdzone przez LGD Pałuki – Wspólna Sprawa uczestnictwo w szkoleniu lub skorzystanie z doradztwa udzielonego przez LGD Pałuki – Wspólna Sprawa. </w:t>
            </w:r>
          </w:p>
          <w:p w14:paraId="086EBA31" w14:textId="4C6CD83B" w:rsidR="002D510D" w:rsidRPr="00F17634" w:rsidRDefault="002D510D" w:rsidP="00F341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za 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niespełnienie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warunku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wskazanego powyżej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AE994AA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FFFFFF"/>
          </w:tcPr>
          <w:p w14:paraId="0DF8ED57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horyzontalne</w:t>
            </w:r>
          </w:p>
        </w:tc>
      </w:tr>
      <w:tr w:rsidR="00F97738" w:rsidRPr="00F97738" w14:paraId="1D12F26C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59D9BEA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14:paraId="1174873B" w14:textId="357E6DE6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Wnioskodawca przedkłada zaświadczenie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Urzędu Skarbowego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wystawione nie wcześniej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niż miesiąc przed dniem złożenia wniosku) o tym</w:t>
            </w:r>
            <w:r w:rsid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że rozlicza podatek dochodowy (PIT) w lokalnym urzędzie skarbowym.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4A57F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1BFDC26B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tych wnioskodawców, którzy przyczynią się do wzrostu przychodów w JST na terenie objętym LSR.</w:t>
            </w:r>
          </w:p>
        </w:tc>
        <w:tc>
          <w:tcPr>
            <w:tcW w:w="5074" w:type="dxa"/>
            <w:shd w:val="clear" w:color="auto" w:fill="FFFFFF"/>
          </w:tcPr>
          <w:p w14:paraId="71184F12" w14:textId="051F8DCA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Zaświadczenie dołączone do  wniosku o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(wystawione nie wcześniej niż miesiąc przed dniem złożenia wniosku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nie później niż ostatniego dnia naboru wniosków. W przypadku kiedy Wnioskodawca nie może uzyskać zaświadczenia w terminie należy przedłożyć wniosek o wydanie zaświadczenia złożony w danym Urzędzie nie później niż </w:t>
            </w:r>
            <w:proofErr w:type="spellStart"/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niż</w:t>
            </w:r>
            <w:proofErr w:type="spellEnd"/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ostatniego dnia naboru wniosków.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F6C0F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przypadku zaświadczenia wystawianego w formie elektronicznej </w:t>
            </w:r>
            <w:r w:rsidR="002F64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wniosku o wydanie zaświadczenia w formie elektronicznej </w:t>
            </w:r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należy dołączyć dokument potwierdzający odebranie zaświadczenia</w:t>
            </w:r>
            <w:r w:rsidR="002F64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/złożenie wniosku</w:t>
            </w:r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np. </w:t>
            </w:r>
            <w:proofErr w:type="spellStart"/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screen</w:t>
            </w:r>
            <w:proofErr w:type="spellEnd"/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systemu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Urzędowe Pismo Przewodnie.</w:t>
            </w:r>
          </w:p>
          <w:p w14:paraId="7D462109" w14:textId="372228E2" w:rsidR="00192E52" w:rsidRPr="00F17634" w:rsidRDefault="00192E52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LGD dopuszcza możliwość wezwania o dostarczenie dokumentu w przypadku kiedy znajduje się on w wykazie załączników a nie ma go w dokumentacji. </w:t>
            </w:r>
          </w:p>
          <w:p w14:paraId="4C9E5B53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226DAB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2DD63641" w14:textId="77777777" w:rsidR="002D510D" w:rsidRPr="00F17634" w:rsidRDefault="002D510D" w:rsidP="00F341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10 punktów za zaświadczenie o rozliczaniu podatku PIT w lokalnym urzędzie skarbowym / zaświadczenie o figurowaniu w ewidencji podatników lokalnego urzędu skarbowego</w:t>
            </w:r>
          </w:p>
          <w:p w14:paraId="0DEC1C48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</w:p>
          <w:p w14:paraId="3605A044" w14:textId="5C974A9E" w:rsidR="002D510D" w:rsidRPr="00F17634" w:rsidRDefault="002D510D" w:rsidP="00F341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" w:name="_Hlk80691607"/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załączył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zaświadczenia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do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wniosku o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nie spełnia warunku.</w:t>
            </w:r>
          </w:p>
          <w:bookmarkEnd w:id="1"/>
          <w:p w14:paraId="10E22DB1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FFFFFF"/>
          </w:tcPr>
          <w:p w14:paraId="4FFFA2BC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specyficzne </w:t>
            </w:r>
          </w:p>
        </w:tc>
      </w:tr>
      <w:tr w:rsidR="00F97738" w:rsidRPr="00F97738" w14:paraId="66B93A64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7AEAD0D4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14:paraId="1D5A4CAE" w14:textId="1D71EB93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dniu składania wniosku Wnioskodawca jest zameldowany nieprzerwanie na pobyt stały lub czasowy na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terenie powiatu żnińskiego, od co najmniej </w:t>
            </w:r>
            <w:r w:rsidR="008F1AD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miesięcy.</w:t>
            </w:r>
          </w:p>
          <w:p w14:paraId="2C3C65D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1B862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F75878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14:paraId="0209D18F" w14:textId="4E00F4C8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zameldowani są </w:t>
            </w:r>
            <w:r w:rsidR="00E84E03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nieprzerwanie n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obszar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ze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 co najmniej 12 miesięcy.</w:t>
            </w:r>
          </w:p>
        </w:tc>
        <w:tc>
          <w:tcPr>
            <w:tcW w:w="5074" w:type="dxa"/>
            <w:shd w:val="clear" w:color="auto" w:fill="auto"/>
          </w:tcPr>
          <w:p w14:paraId="4DB905E2" w14:textId="099A0E60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Dokumenty przedstawione przez Wnioskodawcę – urzędowe zaświadczenie o zameldowaniu (wystawione nie wcześniej niż mies</w:t>
            </w:r>
            <w:r w:rsidR="002F64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iąc przed dniem złożenia 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wniosku i nie później niż ostatniego dnia naboru wniosków. W przypadku kiedy Wnioskodawca nie może uzyskać zaświadczenia w 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terminie należy przedłożyć wniosek o wydanie zaświadczenia złożony w danym Urzędzie nie później niż </w:t>
            </w:r>
            <w:proofErr w:type="spellStart"/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niż</w:t>
            </w:r>
            <w:proofErr w:type="spellEnd"/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ostatniego dnia naboru wniosków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9C5E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W przypadku zaświadczenia drukowanego przez system </w:t>
            </w:r>
            <w:proofErr w:type="spellStart"/>
            <w:r w:rsidR="009C5E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ePUAP</w:t>
            </w:r>
            <w:proofErr w:type="spellEnd"/>
            <w:r w:rsidR="002F64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wniosku o wydanie zaświadczenia w formie elektronicznej</w:t>
            </w:r>
            <w:r w:rsidR="009C5E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należy dołączyć dokument potwierdzający odebranie zaświadczenia</w:t>
            </w:r>
            <w:r w:rsidR="002F64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/złożenie wniosku</w:t>
            </w:r>
            <w:r w:rsidR="009C5E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np. </w:t>
            </w:r>
            <w:proofErr w:type="spellStart"/>
            <w:r w:rsidR="009C5E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screen</w:t>
            </w:r>
            <w:proofErr w:type="spellEnd"/>
            <w:r w:rsidR="009C5E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systemu.</w:t>
            </w:r>
          </w:p>
          <w:p w14:paraId="3C25D6E6" w14:textId="77777777" w:rsidR="00D04BAE" w:rsidRPr="00F17634" w:rsidRDefault="00D04BAE" w:rsidP="00D04BA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LGD dopuszcza możliwość wezwania o dostarczenie dokumentu w przypadku kiedy znajduje się on w wykazie załączników a nie ma go w dokumentacji. </w:t>
            </w:r>
          </w:p>
          <w:p w14:paraId="44972378" w14:textId="77777777" w:rsidR="00D04BAE" w:rsidRPr="00F17634" w:rsidRDefault="00D04BAE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238C04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44BF48EC" w14:textId="01272C41" w:rsidR="002D510D" w:rsidRPr="00F17634" w:rsidRDefault="002D510D" w:rsidP="008550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10 punktów za przedstawienie zaświadczenia dokumentującego zameldowanie na terenie objętym LSR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nieprzerwanie 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 co najmniej 12 miesięcy</w:t>
            </w:r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1028050F" w14:textId="6C3E953B" w:rsidR="002D510D" w:rsidRPr="00F17634" w:rsidRDefault="002D510D" w:rsidP="008550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jeśli Wnioskodawca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 spełnia warunku lub 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 przedłożył Zaświadczenia lub przedłożył a nie wynika z niego, że jest zameldowany nieprzerwanie na pobyt stały lub czasowy na terenie LGD od co najmniej 12 miesięcy. </w:t>
            </w:r>
          </w:p>
          <w:p w14:paraId="6A56BED4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1CE3B591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color w:val="000000" w:themeColor="text1"/>
                <w:sz w:val="18"/>
                <w:szCs w:val="18"/>
              </w:rPr>
              <w:lastRenderedPageBreak/>
              <w:t xml:space="preserve">Kryterium specyficzne </w:t>
            </w:r>
          </w:p>
        </w:tc>
      </w:tr>
      <w:tr w:rsidR="00F97738" w:rsidRPr="00F97738" w14:paraId="3D49ECD1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6B01E970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0" w:type="dxa"/>
            <w:shd w:val="clear" w:color="auto" w:fill="FFFFFF"/>
          </w:tcPr>
          <w:p w14:paraId="5EF03A6D" w14:textId="4748692E" w:rsidR="002D510D" w:rsidRPr="00F97738" w:rsidRDefault="002D510D" w:rsidP="008A7A9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Projekt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nie zakłada robót remontowo-budowlanych</w:t>
            </w:r>
            <w:r w:rsidR="008A7A9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0FE5571" w14:textId="77777777" w:rsidR="008F0E93" w:rsidRPr="00F97738" w:rsidRDefault="008F0E93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20B4D4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C60E9F" w14:textId="2168596F" w:rsidR="002D510D" w:rsidRPr="00F97738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25E01378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</w:t>
            </w:r>
            <w:r w:rsidR="00BD39EF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nie będą realizować projektów remontowo-budowlanych wymagających dłuższego czasu realizacji.</w:t>
            </w:r>
          </w:p>
          <w:p w14:paraId="4BD73005" w14:textId="77777777" w:rsidR="00BD39EF" w:rsidRPr="00F17634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kryterium jest adekwatne do analizy SWOT </w:t>
            </w:r>
          </w:p>
          <w:p w14:paraId="195A0144" w14:textId="4291BAC6" w:rsidR="00BD39EF" w:rsidRPr="00F17634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mierzalne, pozwalające przypisać operacji określoną ilość punktów na podstawie dokumentacji. Jego zastosowanie zwiększa szanse na przygotowanie wysokiej, jakości dokumentacji do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wniosku o przyznanie pomocy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E2BA8ED" w14:textId="6BB72627" w:rsidR="00BD39EF" w:rsidRPr="00F17634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co pozwoli wykorzystać maksymalnie wskazane w analizie SWOT malejące możliwości dostępu do środków finansowych.</w:t>
            </w:r>
          </w:p>
        </w:tc>
        <w:tc>
          <w:tcPr>
            <w:tcW w:w="5074" w:type="dxa"/>
            <w:shd w:val="clear" w:color="auto" w:fill="auto"/>
          </w:tcPr>
          <w:p w14:paraId="4BFC6AA8" w14:textId="54868101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Informacje zawarte we wniosku o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="009C5E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w biznesplanie w tabeli 7.1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2D9491B7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A6D56D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16567611" w14:textId="7621AED7" w:rsidR="002D510D" w:rsidRPr="00F17634" w:rsidRDefault="00BD39EF" w:rsidP="008550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za 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brak kosztów związanych z usługami remontowo-budowlanymi.</w:t>
            </w:r>
          </w:p>
          <w:p w14:paraId="1B2D0B4D" w14:textId="05F192D8" w:rsidR="002D510D" w:rsidRPr="00F17634" w:rsidRDefault="002D510D" w:rsidP="008550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projekt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obejmuje koszty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39EF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 remontowo – budowlanych.</w:t>
            </w:r>
          </w:p>
          <w:p w14:paraId="0A526869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  <w:p w14:paraId="2A17466A" w14:textId="5B19AAD8" w:rsidR="009F1F82" w:rsidRPr="00F17634" w:rsidRDefault="009F1F82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 roboty remontowo budowlane uznawane są działania wymagające uzyskania </w:t>
            </w:r>
            <w:r w:rsidR="004944A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zgłoszenia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pozwolenia na budowę.</w:t>
            </w:r>
            <w:r w:rsidR="004944A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przypadkach wątpliwych wnioskodawca musi załączyć dokument </w:t>
            </w:r>
            <w:r w:rsidR="00CC6C67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właściwego organu </w:t>
            </w:r>
            <w:r w:rsidR="004944A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potwierdzający</w:t>
            </w:r>
            <w:r w:rsidR="00CC6C67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4944A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że wydatek nie stanowi prac remontowo-budowlanych. </w:t>
            </w:r>
          </w:p>
        </w:tc>
        <w:tc>
          <w:tcPr>
            <w:tcW w:w="2216" w:type="dxa"/>
            <w:shd w:val="clear" w:color="auto" w:fill="auto"/>
          </w:tcPr>
          <w:p w14:paraId="59F5283F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color w:val="000000" w:themeColor="text1"/>
                <w:sz w:val="18"/>
                <w:szCs w:val="18"/>
              </w:rPr>
              <w:t xml:space="preserve">Kryterium specyficzne </w:t>
            </w:r>
          </w:p>
          <w:p w14:paraId="2D15EDA0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Kryterium rozstrzygające 2.</w:t>
            </w:r>
          </w:p>
        </w:tc>
      </w:tr>
      <w:tr w:rsidR="00F97738" w:rsidRPr="00F97738" w14:paraId="7DF2974E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80ED1A9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0" w:type="dxa"/>
            <w:shd w:val="clear" w:color="auto" w:fill="FFFFFF"/>
          </w:tcPr>
          <w:p w14:paraId="4B8E2207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w ramach projektu zakłada działalność gospodarczą opartą na produktach rolnych.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C3405" w14:textId="5B09F324" w:rsidR="002D510D" w:rsidRPr="00F97738" w:rsidRDefault="008A7A97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D24769D" w14:textId="25BA9BB0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zakładaną działalność gospodarczą 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opartą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produktach rolnych. Kryterium rekomendowane w PROW </w:t>
            </w:r>
          </w:p>
        </w:tc>
        <w:tc>
          <w:tcPr>
            <w:tcW w:w="5074" w:type="dxa"/>
            <w:shd w:val="clear" w:color="auto" w:fill="auto"/>
          </w:tcPr>
          <w:p w14:paraId="1AE733DD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</w:t>
            </w:r>
          </w:p>
          <w:p w14:paraId="32BD5C0F" w14:textId="3D3871C9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Informacje zawarte we wniosku o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przyznanie pomocy 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biznesplanie. </w:t>
            </w:r>
          </w:p>
          <w:p w14:paraId="25817CD3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9E682A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1F0F1855" w14:textId="0491464F" w:rsidR="002D510D" w:rsidRPr="00F17634" w:rsidRDefault="008A7A97" w:rsidP="008550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 za wykazanie we wniosku (pole B.III.1.4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odniesienie w tabeli 9.2 odnoszące się do zakresu operacji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), że zakładana działalność gospodarcza oparta będzie na produktach rolnych. </w:t>
            </w:r>
          </w:p>
          <w:p w14:paraId="21253F23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F3D56B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50E5B04" w14:textId="06DBD675" w:rsidR="002D510D" w:rsidRPr="00F17634" w:rsidRDefault="002D510D" w:rsidP="008550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 punktów jeśli Wnioskodawca nie zakłada wykorzystania w działalności produktów rolnych lub uzasadnienie  ujęte w polu B.III.1.4 nie będzie wystarczające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brak będzie odniesienia w tabeli 9.2 do produktów rolnych</w:t>
            </w:r>
          </w:p>
          <w:p w14:paraId="42C69E2A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AE98E2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D45462" w14:textId="597FB25F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jest subiektywną oceną każdego członka Rady</w:t>
            </w:r>
          </w:p>
          <w:p w14:paraId="1EB62066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05B901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  <w:p w14:paraId="12972DF0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4CCA0A1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Kryterium specyficzne </w:t>
            </w:r>
          </w:p>
        </w:tc>
      </w:tr>
      <w:tr w:rsidR="00F97738" w:rsidRPr="00F97738" w14:paraId="1C6ED72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EA381F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0" w:type="dxa"/>
            <w:shd w:val="clear" w:color="auto" w:fill="FFFFFF"/>
          </w:tcPr>
          <w:p w14:paraId="3B737E24" w14:textId="4E4ACDB2" w:rsidR="002D510D" w:rsidRPr="00F17634" w:rsidRDefault="008A7A97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Czas realizacji projektu do 3 miesięcy od </w:t>
            </w:r>
          </w:p>
          <w:p w14:paraId="41BD0F6F" w14:textId="3835BF3B" w:rsidR="00081BB9" w:rsidRPr="00F17634" w:rsidRDefault="008550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081BB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trzymania wypłaty 1 transzy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5EC18" w14:textId="77777777" w:rsidR="002D510D" w:rsidRPr="00F97738" w:rsidRDefault="008B623F" w:rsidP="008A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7E17C3F" w14:textId="51BFB600" w:rsidR="00BD39EF" w:rsidRPr="00F17634" w:rsidRDefault="008A7A97" w:rsidP="008550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operacje przyczyniające się do szybkiej realizacji </w:t>
            </w:r>
            <w:r w:rsidR="008550D7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wskaźników zawartych w LSR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BD39EF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będzie promowało projekty, których realizacja jest zaplanowana na krótki okres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BD39EF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ma wpływ na osiąganie przez LGD wskaźników. </w:t>
            </w:r>
          </w:p>
          <w:p w14:paraId="50685839" w14:textId="77777777" w:rsidR="00BD39EF" w:rsidRPr="00F17634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3F153C" w14:textId="2F3207B5" w:rsidR="002D510D" w:rsidRPr="00F17634" w:rsidRDefault="00BD39EF" w:rsidP="008550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kryterium jest adekwatne do analizy SWOT i mierzalne, pozwalające przypisać operacji określoną ilość punktów na podstawie dokumentacji. Jego zastosowanie zwiększa szanse na przygotowanie wysokiej jakości dokumentacji do wniosków o 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</w:p>
        </w:tc>
        <w:tc>
          <w:tcPr>
            <w:tcW w:w="5074" w:type="dxa"/>
            <w:shd w:val="clear" w:color="auto" w:fill="auto"/>
          </w:tcPr>
          <w:p w14:paraId="77A98DED" w14:textId="159B3943" w:rsidR="00194828" w:rsidRPr="00F17634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</w:t>
            </w:r>
            <w:r w:rsidR="009D7FD7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ę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przyznaje się w następujący sposób:</w:t>
            </w:r>
          </w:p>
          <w:p w14:paraId="4652EA1C" w14:textId="77777777" w:rsidR="008550D7" w:rsidRPr="00F17634" w:rsidRDefault="008B623F" w:rsidP="008550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za </w:t>
            </w:r>
            <w:r w:rsidR="008A7A97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deklarację we wniosku</w:t>
            </w:r>
            <w:r w:rsidR="00081BB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polu</w:t>
            </w:r>
            <w:r w:rsidR="00F376A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B.III.</w:t>
            </w:r>
            <w:r w:rsidR="00081BB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1.4</w:t>
            </w:r>
            <w:r w:rsidR="008A7A97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realizacji operacji i złożenia wniosku o płatność 2 transzy w terminie do 3 miesięcy od dnia</w:t>
            </w:r>
            <w:r w:rsidR="00A86364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</w:t>
            </w:r>
            <w:r w:rsidR="00081BB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trzymania pierwszej transzy.</w:t>
            </w:r>
            <w:r w:rsidR="009D7FD7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E71BD46" w14:textId="77777777" w:rsidR="008550D7" w:rsidRPr="00F17634" w:rsidRDefault="008550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E3F7DB" w14:textId="0378494A" w:rsidR="002D510D" w:rsidRPr="00F17634" w:rsidRDefault="009D7F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UWAGA: W PRZYPADKU OT</w:t>
            </w:r>
            <w:r w:rsidR="00F376A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RZ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YMANIA PUNKTÓW TERMINU NIE BĘDZIE MOŻNA WYDŁUŻYC </w:t>
            </w:r>
            <w:r w:rsidR="008550D7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(jeśli zmiana wpływałaby na pozycję na liście operacji wybranych powodującą negatywny wynik wyboru) 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ZATEM TRZEBA REALNIE OKREŚLIĆ TERMIN MAJĄC NA WZGLĘDZIE ZAKRES OPERACJI. </w:t>
            </w:r>
          </w:p>
          <w:p w14:paraId="4638BD17" w14:textId="5F1E8D11" w:rsidR="002D510D" w:rsidRPr="00F17634" w:rsidRDefault="002D510D" w:rsidP="008550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za brak</w:t>
            </w:r>
            <w:r w:rsidR="008550D7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deklaracji dotyczącej terminu w polu B.III.1.4</w:t>
            </w:r>
            <w:r w:rsidR="00E6401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deklarację powyżej 3 miesięcy</w:t>
            </w:r>
          </w:p>
          <w:p w14:paraId="09BAEFE1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63913A04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specyficzne </w:t>
            </w:r>
          </w:p>
          <w:p w14:paraId="556B9CE5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Kryterium rozstrzygające 3.</w:t>
            </w:r>
          </w:p>
        </w:tc>
      </w:tr>
      <w:tr w:rsidR="00F97738" w:rsidRPr="00F97738" w14:paraId="13BC2E3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6341DF51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80" w:type="dxa"/>
            <w:shd w:val="clear" w:color="auto" w:fill="FFFFFF"/>
          </w:tcPr>
          <w:p w14:paraId="71211DEF" w14:textId="2B92439E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Wnioskodawca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będzie realizował operację w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liczącej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5000 mieszkańców 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zameldowanych na pobyt stały.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64F2A" w14:textId="61381DFF" w:rsidR="002D510D" w:rsidRPr="00F97738" w:rsidRDefault="00C1491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197C31E" w14:textId="6BAC688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premiować będzie te projekty, które przyczyniać się będą do 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rozwoju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liczących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mieszkańców.</w:t>
            </w:r>
          </w:p>
          <w:p w14:paraId="56252CF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premiowane przez PROW. </w:t>
            </w:r>
          </w:p>
        </w:tc>
        <w:tc>
          <w:tcPr>
            <w:tcW w:w="5074" w:type="dxa"/>
            <w:shd w:val="clear" w:color="auto" w:fill="auto"/>
          </w:tcPr>
          <w:p w14:paraId="6B3ADC1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Dane statystyczne z Urzędów Gmin pozyskane przez LGD – stan na dzień 31.12 roku poprzedzającego rok złożenia wniosku.</w:t>
            </w:r>
          </w:p>
          <w:p w14:paraId="4C1B4350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4CF23ACA" w14:textId="6C017686" w:rsidR="002D510D" w:rsidRPr="00192E52" w:rsidRDefault="00C14910" w:rsidP="00192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8B623F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unkt</w:t>
            </w:r>
            <w:r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</w:t>
            </w:r>
            <w:r w:rsidR="00936860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realizację operacji w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</w:t>
            </w:r>
            <w:r w:rsidR="00803E58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ej</w:t>
            </w:r>
            <w:r w:rsidR="00AF44E0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mniej niż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</w:t>
            </w:r>
            <w:r w:rsidR="00192E52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mieszkańców.</w:t>
            </w:r>
          </w:p>
          <w:p w14:paraId="03C6325A" w14:textId="1D5B0DC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864770" w14:textId="77777777" w:rsidR="002D510D" w:rsidRPr="00192E52" w:rsidRDefault="002D510D" w:rsidP="00192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projekt dotyczy większej miejscowości </w:t>
            </w:r>
            <w:r w:rsidR="00D9512A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liczącej co najmniej 5000 mieszkańców</w:t>
            </w:r>
          </w:p>
          <w:p w14:paraId="6B6F7BFC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  <w:p w14:paraId="2EF46CC2" w14:textId="2B3AC1A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71FD0BD7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rozstrzygające 1.</w:t>
            </w:r>
          </w:p>
        </w:tc>
      </w:tr>
      <w:tr w:rsidR="00F97738" w:rsidRPr="00F97738" w14:paraId="4C87A7B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3546D32C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80" w:type="dxa"/>
            <w:shd w:val="clear" w:color="auto" w:fill="FFFFFF"/>
          </w:tcPr>
          <w:p w14:paraId="791FFFDE" w14:textId="08242FB6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jest osobą:</w:t>
            </w:r>
          </w:p>
          <w:p w14:paraId="5BA7F36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do 35 r. ż. w dniu złożenia wniosku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(osoby, które nie ukończyły 35 lat)</w:t>
            </w:r>
          </w:p>
          <w:p w14:paraId="5531140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pow. 50 r.ż. w dniu złożenia wniosku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(osoby, które ukończyły 50 lat)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A1C12" w14:textId="6A37D64F" w:rsidR="002D510D" w:rsidRPr="00F97738" w:rsidRDefault="00C1491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0873BBF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te osoby, które w diagnozie zostały wskazane, jako należące do grupy </w:t>
            </w:r>
            <w:proofErr w:type="spellStart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defaworyzowanej</w:t>
            </w:r>
            <w:proofErr w:type="spellEnd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5AFF2CB3" w14:textId="0F88DE9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kserokopi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dowodu osobistego.</w:t>
            </w:r>
          </w:p>
          <w:p w14:paraId="0A62C8C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0ABDA73B" w14:textId="44E61865" w:rsidR="002D510D" w:rsidRPr="00A75EBE" w:rsidRDefault="00C14910" w:rsidP="00A75E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jeśli wnioskodawca spełnieni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warun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ek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dot. wieku</w:t>
            </w:r>
          </w:p>
          <w:p w14:paraId="28C53E9A" w14:textId="528C8601" w:rsidR="002D510D" w:rsidRPr="00A75EBE" w:rsidRDefault="002D510D" w:rsidP="00A75E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spełnia warunku dot. wieku. </w:t>
            </w:r>
          </w:p>
          <w:p w14:paraId="31FF6E5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37E12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0DC4A8A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premiujące grupy </w:t>
            </w:r>
            <w:proofErr w:type="spellStart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defaworyzowane</w:t>
            </w:r>
            <w:proofErr w:type="spellEnd"/>
          </w:p>
        </w:tc>
      </w:tr>
      <w:tr w:rsidR="00F97738" w:rsidRPr="00F97738" w14:paraId="1EFD0492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B3A4ADD" w14:textId="77777777" w:rsidR="008B623F" w:rsidRPr="00F97738" w:rsidRDefault="008B623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80" w:type="dxa"/>
            <w:shd w:val="clear" w:color="auto" w:fill="FFFFFF"/>
          </w:tcPr>
          <w:p w14:paraId="5656ADEA" w14:textId="4A42C40A" w:rsidR="008B623F" w:rsidRPr="00F97738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zakłada działalność gospodarcz</w:t>
            </w:r>
            <w:r w:rsidR="00EC637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ą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 </w:t>
            </w:r>
            <w:r w:rsidR="001F4C5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raz pierwszy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ADB99" w14:textId="77777777" w:rsidR="008B623F" w:rsidRPr="00F17634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B623F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6A76481" w14:textId="04D4AD8F" w:rsidR="008B623F" w:rsidRPr="00F17634" w:rsidRDefault="008B623F" w:rsidP="00A75E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premiować będzie tych wnioskodawców, którzy do chwili złożenia wniosku </w:t>
            </w:r>
            <w:r w:rsidR="00C60FD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 prowadzili działalności gospodarczej 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poprzez założenie działalności przyczynią się do rozwoju </w:t>
            </w:r>
            <w:proofErr w:type="spellStart"/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mikroprzedsiębiorczości</w:t>
            </w:r>
            <w:proofErr w:type="spellEnd"/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obszarze</w:t>
            </w:r>
            <w:r w:rsidR="00A75E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objętym LSR</w:t>
            </w:r>
            <w:r w:rsidR="00C60FD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BE55C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0EC7A699" w14:textId="61408BD9" w:rsidR="008B623F" w:rsidRPr="00F17634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</w:t>
            </w:r>
            <w:r w:rsidR="00714FD4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oświadczenie wnioskodawcy składane pod rygorem odpowiedzialności karnej.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Oświadczenie stanowi odrębny załącznik do wniosku.</w:t>
            </w:r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1C4EE745" w14:textId="77777777" w:rsidR="008B623F" w:rsidRPr="00F17634" w:rsidRDefault="008B623F" w:rsidP="008B62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60D1108B" w14:textId="77777777" w:rsidR="00A75EBE" w:rsidRPr="00F17634" w:rsidRDefault="00D9512A" w:rsidP="00A75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B623F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5 punktów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8B623F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wnioskodawca nigdy nie prowadził działalności </w:t>
            </w:r>
          </w:p>
          <w:p w14:paraId="30E24E06" w14:textId="37E1F5E4" w:rsidR="008B623F" w:rsidRPr="00F17634" w:rsidRDefault="008B623F" w:rsidP="00A75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wnioskodawca </w:t>
            </w:r>
            <w:r w:rsidR="00AF5757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nie spełnia warunku.</w:t>
            </w:r>
          </w:p>
        </w:tc>
        <w:tc>
          <w:tcPr>
            <w:tcW w:w="2216" w:type="dxa"/>
            <w:shd w:val="clear" w:color="auto" w:fill="auto"/>
          </w:tcPr>
          <w:p w14:paraId="74D809CD" w14:textId="77777777" w:rsidR="008B623F" w:rsidRPr="00F97738" w:rsidRDefault="008B623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1904D57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1B6A2D4" w14:textId="2B8AA005" w:rsidR="00BD39EF" w:rsidRPr="00F97738" w:rsidRDefault="00BD39E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80" w:type="dxa"/>
            <w:shd w:val="clear" w:color="auto" w:fill="FFFFFF"/>
          </w:tcPr>
          <w:p w14:paraId="56915470" w14:textId="0EEBE2CD" w:rsidR="00BD39EF" w:rsidRPr="00F97738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Do wniosku załączono dokumenty potwierdzające założone koszty.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13A16" w14:textId="2EDCFB4B" w:rsidR="00BD39EF" w:rsidRPr="00F97738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222DBBE" w14:textId="02D16490" w:rsidR="00BD39EF" w:rsidRPr="00F17634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ramach kryterium preferowane będą operacje, w których będzie można określić racjonalność wydatków dla danej operacji. Dane kryterium będzie weryfikowane/ oceniane na podstawie wniosku o 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załączników do wniosku - dokumenty potwierdzające poziom cen dla każdego z zaplanowanych wydatków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stanowiących podstawę wyliczenia kwoty pomocy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 Dokumentami tymi są oferty</w:t>
            </w:r>
            <w:r w:rsidR="00B20C8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tylko na wzorze udostępnionym przez LGD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dokumenty równoważne zawierające wskazane elementy</w:t>
            </w:r>
            <w:r w:rsidR="00A86364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20C8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kosztorys</w:t>
            </w:r>
            <w:r w:rsidR="00B20C8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prac inwestycyjnych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E54DA84" w14:textId="77777777" w:rsidR="00BD39EF" w:rsidRPr="00F17634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Przyjęte założenia pozwolą punktować operacje, które udokumentują, że założone we wniosku kwoty są kosztami racjonalnymi, rynkowymi. </w:t>
            </w:r>
          </w:p>
          <w:p w14:paraId="4CFE2FF7" w14:textId="184FF9A2" w:rsidR="00BD39EF" w:rsidRPr="00F17634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kryterium jest mierzalne, pozwalające przypisać operacji określoną ilość punktów na podstawie dokumentacji (wniosku i załączników), adekwatne do analizy SWOT, która wskazuje na duże zapotrzebowanie społeczności w pozyskiwaniu środków unijnych</w:t>
            </w:r>
          </w:p>
        </w:tc>
        <w:tc>
          <w:tcPr>
            <w:tcW w:w="5074" w:type="dxa"/>
            <w:shd w:val="clear" w:color="auto" w:fill="auto"/>
          </w:tcPr>
          <w:p w14:paraId="2671B87C" w14:textId="392C6136" w:rsidR="00BD39EF" w:rsidRPr="00F17634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Weryfikacja: na podstawie 2  </w:t>
            </w:r>
            <w:r w:rsidR="00936860"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dokumentów</w:t>
            </w:r>
            <w:r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dla każdego wydatku</w:t>
            </w:r>
            <w:r w:rsidR="00936860"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stanowiącego podstawę wyliczenia kwoty pomocy</w:t>
            </w:r>
            <w:r w:rsidR="00A75EBE"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lub kosztorysu</w:t>
            </w:r>
            <w:r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.</w:t>
            </w: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Jednakże, aby </w:t>
            </w:r>
            <w:r w:rsidR="00936860"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wskazane</w:t>
            </w: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. dokumenty mogły zostać uznane za </w:t>
            </w:r>
            <w:r w:rsidRPr="00F1763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ar-SA"/>
              </w:rPr>
              <w:t>kompletne</w:t>
            </w: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, a tym samy</w:t>
            </w:r>
            <w:r w:rsidR="00936860"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m</w:t>
            </w: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dopuszczalne jako załączniki do wniosku powinny zawierać takie elementy jak:</w:t>
            </w:r>
          </w:p>
          <w:p w14:paraId="73BF374C" w14:textId="77777777" w:rsidR="00BD39EF" w:rsidRPr="00F17634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 wskazanie sprzedawcy/ usługodawcy,</w:t>
            </w:r>
          </w:p>
          <w:p w14:paraId="09B95F0A" w14:textId="77777777" w:rsidR="00BD39EF" w:rsidRPr="00F17634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-przedmiot zakupu</w:t>
            </w:r>
          </w:p>
          <w:p w14:paraId="277FC2FF" w14:textId="22DCB230" w:rsidR="00BD39EF" w:rsidRPr="00F17634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-podstawowe parametry techniczne sprzętu/charakterystykę ( np. moc, wielkość, prędkość itp.) </w:t>
            </w:r>
            <w:r w:rsidR="001C42C2"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Min. 3 p</w:t>
            </w:r>
            <w:r w:rsidR="005325DA"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arametry spójne ze wskazanymi w tabeli 7.1 biznesplanu.</w:t>
            </w:r>
          </w:p>
          <w:p w14:paraId="6B688B99" w14:textId="77777777" w:rsidR="00BD39EF" w:rsidRPr="00F17634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 cenę netto oraz brutto bądź stawkę podatku VAT,</w:t>
            </w:r>
          </w:p>
          <w:p w14:paraId="752669F2" w14:textId="1EA772FE" w:rsidR="001364C8" w:rsidRPr="00F17634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-podpis oferenta</w:t>
            </w:r>
            <w:r w:rsidR="00E70FEB"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79CDB4DE" w14:textId="5FF94856" w:rsidR="001364C8" w:rsidRPr="00F17634" w:rsidRDefault="001364C8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Oferty muszą być sporządzone na wzorze LGD</w:t>
            </w:r>
            <w:r w:rsidR="00D04BAE"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lub dokumencie równoważnym ale zawierać wszystkie wymienione elementy</w:t>
            </w: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.</w:t>
            </w:r>
            <w:r w:rsidR="00A86364"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24C05A0E" w14:textId="0E3CA6A1" w:rsidR="00BD39EF" w:rsidRPr="00F17634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8"/>
                <w:lang w:eastAsia="ar-SA"/>
              </w:rPr>
            </w:pP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024B8D1A" w14:textId="5508F957" w:rsidR="00BD39EF" w:rsidRPr="00F17634" w:rsidRDefault="001364C8" w:rsidP="00BD39EF">
            <w:pPr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</w:pPr>
            <w:r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W przypadku wezwania przez LGD do uzupełnienia oferty na etapie weryfikacji wstępnej wniosku punkty nie będą przyznane. </w:t>
            </w:r>
          </w:p>
          <w:p w14:paraId="4CD15DF7" w14:textId="31B0BD6C" w:rsidR="00936860" w:rsidRPr="00F17634" w:rsidRDefault="00936860" w:rsidP="00BD39EF">
            <w:pPr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</w:pPr>
            <w:r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Punktacja przyznawana będzie w następujący sposób:</w:t>
            </w:r>
          </w:p>
          <w:p w14:paraId="2770D2E6" w14:textId="7B5414C0" w:rsidR="00BD39EF" w:rsidRPr="00F17634" w:rsidRDefault="00BD39EF" w:rsidP="005325DA">
            <w:pPr>
              <w:pStyle w:val="Akapitzlist"/>
              <w:numPr>
                <w:ilvl w:val="0"/>
                <w:numId w:val="8"/>
              </w:num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17634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5 pkt 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Wnioskodawca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dostarczy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ł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min </w:t>
            </w:r>
            <w:r w:rsidR="002F2FAC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 oferty cenowe</w:t>
            </w:r>
            <w:r w:rsidR="00D04BAE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lub kosztorys</w:t>
            </w:r>
            <w:r w:rsidR="002F2FAC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potwierdzając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przyjęty poziom cen  d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la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każdego kosztu</w:t>
            </w:r>
            <w:r w:rsidR="00803E58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stanowiącego podstawę wyliczenia kwoty pomocy. </w:t>
            </w:r>
          </w:p>
          <w:p w14:paraId="6D0C12C0" w14:textId="5EF0FC55" w:rsidR="00BD39EF" w:rsidRPr="00F17634" w:rsidRDefault="00BD39EF" w:rsidP="005325DA">
            <w:pPr>
              <w:pStyle w:val="Akapitzlist"/>
              <w:numPr>
                <w:ilvl w:val="0"/>
                <w:numId w:val="8"/>
              </w:num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17634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0 pkt 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Wnioskodawca 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nie dostarczył 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min. 2 </w:t>
            </w:r>
            <w:r w:rsidR="00A86364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oferty cenowe </w:t>
            </w:r>
            <w:r w:rsidR="00D04BAE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lub kosztorys 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potwierdzając</w:t>
            </w:r>
            <w:r w:rsidR="00A86364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poziom cen 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dla kosztów stanowiących podstawę wyliczenia kwoty pomocy. </w:t>
            </w:r>
          </w:p>
          <w:p w14:paraId="4E82E5A1" w14:textId="77777777" w:rsidR="00BD39EF" w:rsidRPr="00F17634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0EB03599" w14:textId="77777777" w:rsidR="00BD39EF" w:rsidRPr="00F97738" w:rsidRDefault="00BD39E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0A25F230" w14:textId="77777777" w:rsidTr="003413E4">
        <w:trPr>
          <w:trHeight w:val="401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634C2F81" w14:textId="77777777" w:rsidR="00EC6370" w:rsidRPr="00F97738" w:rsidRDefault="00EC6370" w:rsidP="00EC637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C75854" w14:textId="074A7ABC" w:rsidR="00EC6370" w:rsidRPr="00F97738" w:rsidRDefault="00632361" w:rsidP="008A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1E5814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69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6948103" w14:textId="77777777" w:rsidR="00EC6370" w:rsidRPr="00F97738" w:rsidRDefault="00EC6370" w:rsidP="00EC63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B0EE676" w14:textId="758CC6D4" w:rsidR="000F43C5" w:rsidRDefault="00912758">
      <w:r>
        <w:t>Minimum punktowe – 45 p.</w:t>
      </w:r>
    </w:p>
    <w:sectPr w:rsidR="000F43C5" w:rsidSect="002A4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4088"/>
    <w:multiLevelType w:val="hybridMultilevel"/>
    <w:tmpl w:val="DBE6A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FC5"/>
    <w:multiLevelType w:val="hybridMultilevel"/>
    <w:tmpl w:val="FE10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79D1"/>
    <w:multiLevelType w:val="hybridMultilevel"/>
    <w:tmpl w:val="D42E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B24"/>
    <w:multiLevelType w:val="hybridMultilevel"/>
    <w:tmpl w:val="F124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77F6"/>
    <w:multiLevelType w:val="hybridMultilevel"/>
    <w:tmpl w:val="446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44CB"/>
    <w:multiLevelType w:val="hybridMultilevel"/>
    <w:tmpl w:val="B044A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4E64"/>
    <w:multiLevelType w:val="hybridMultilevel"/>
    <w:tmpl w:val="6D30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6730"/>
    <w:multiLevelType w:val="hybridMultilevel"/>
    <w:tmpl w:val="1902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0D"/>
    <w:rsid w:val="000208D3"/>
    <w:rsid w:val="000525E1"/>
    <w:rsid w:val="00074CE2"/>
    <w:rsid w:val="00081BB9"/>
    <w:rsid w:val="000F43C5"/>
    <w:rsid w:val="000F5332"/>
    <w:rsid w:val="001364C8"/>
    <w:rsid w:val="00192E52"/>
    <w:rsid w:val="00194828"/>
    <w:rsid w:val="0019606E"/>
    <w:rsid w:val="001C42C2"/>
    <w:rsid w:val="001E2E43"/>
    <w:rsid w:val="001E5814"/>
    <w:rsid w:val="001F4C53"/>
    <w:rsid w:val="00207E08"/>
    <w:rsid w:val="00247829"/>
    <w:rsid w:val="002A4C77"/>
    <w:rsid w:val="002D510D"/>
    <w:rsid w:val="002E69C0"/>
    <w:rsid w:val="002F2FAC"/>
    <w:rsid w:val="002F64C2"/>
    <w:rsid w:val="003413E4"/>
    <w:rsid w:val="003A790D"/>
    <w:rsid w:val="00401D5E"/>
    <w:rsid w:val="004944A9"/>
    <w:rsid w:val="005325DA"/>
    <w:rsid w:val="00620A6C"/>
    <w:rsid w:val="00632361"/>
    <w:rsid w:val="0064264A"/>
    <w:rsid w:val="006F7363"/>
    <w:rsid w:val="00705C88"/>
    <w:rsid w:val="00714FD4"/>
    <w:rsid w:val="007804F3"/>
    <w:rsid w:val="007A4C9D"/>
    <w:rsid w:val="007A6BBF"/>
    <w:rsid w:val="007F63F4"/>
    <w:rsid w:val="00803E58"/>
    <w:rsid w:val="00821D8C"/>
    <w:rsid w:val="008550D7"/>
    <w:rsid w:val="00856A96"/>
    <w:rsid w:val="0086781C"/>
    <w:rsid w:val="00881FAD"/>
    <w:rsid w:val="008A7A97"/>
    <w:rsid w:val="008B623F"/>
    <w:rsid w:val="008E412C"/>
    <w:rsid w:val="008F0E93"/>
    <w:rsid w:val="008F1AD3"/>
    <w:rsid w:val="00912758"/>
    <w:rsid w:val="00936860"/>
    <w:rsid w:val="009468C4"/>
    <w:rsid w:val="009C5EC2"/>
    <w:rsid w:val="009D7FD7"/>
    <w:rsid w:val="009F1F82"/>
    <w:rsid w:val="00A50E56"/>
    <w:rsid w:val="00A75EBE"/>
    <w:rsid w:val="00A86364"/>
    <w:rsid w:val="00AF44E0"/>
    <w:rsid w:val="00AF5757"/>
    <w:rsid w:val="00B20C80"/>
    <w:rsid w:val="00B22051"/>
    <w:rsid w:val="00B56942"/>
    <w:rsid w:val="00BD39EF"/>
    <w:rsid w:val="00BE55CA"/>
    <w:rsid w:val="00C14910"/>
    <w:rsid w:val="00C4085A"/>
    <w:rsid w:val="00C60FDD"/>
    <w:rsid w:val="00CB3BAD"/>
    <w:rsid w:val="00CC6C67"/>
    <w:rsid w:val="00CE0329"/>
    <w:rsid w:val="00D04BAE"/>
    <w:rsid w:val="00D11F09"/>
    <w:rsid w:val="00D9512A"/>
    <w:rsid w:val="00E004E0"/>
    <w:rsid w:val="00E6401E"/>
    <w:rsid w:val="00E70FEB"/>
    <w:rsid w:val="00E84E03"/>
    <w:rsid w:val="00EA0245"/>
    <w:rsid w:val="00EC6370"/>
    <w:rsid w:val="00F17634"/>
    <w:rsid w:val="00F341BE"/>
    <w:rsid w:val="00F376A0"/>
    <w:rsid w:val="00F46D9D"/>
    <w:rsid w:val="00F97738"/>
    <w:rsid w:val="00FD58E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65C9"/>
  <w15:docId w15:val="{2459283F-2B94-44CF-8D03-C11BA8C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E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1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12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F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B3ED-2B48-4233-A541-B7E02978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2045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WeronikaP</dc:creator>
  <cp:lastModifiedBy>LGD Pałuki</cp:lastModifiedBy>
  <cp:revision>2</cp:revision>
  <cp:lastPrinted>2021-09-10T05:41:00Z</cp:lastPrinted>
  <dcterms:created xsi:type="dcterms:W3CDTF">2021-09-22T12:03:00Z</dcterms:created>
  <dcterms:modified xsi:type="dcterms:W3CDTF">2021-09-22T12:03:00Z</dcterms:modified>
</cp:coreProperties>
</file>