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1DD6" w14:textId="0B539EF6" w:rsidR="001E2E43" w:rsidRPr="00B9496B" w:rsidRDefault="00626005" w:rsidP="001E2E43">
      <w:pPr>
        <w:jc w:val="right"/>
      </w:pPr>
      <w:r>
        <w:t>Załącznik nr 4 do ogłoszenia o naborze</w:t>
      </w:r>
    </w:p>
    <w:p w14:paraId="3AE06FD2" w14:textId="77777777" w:rsidR="00B9496B" w:rsidRDefault="00B9496B" w:rsidP="00AE1DB3">
      <w:pPr>
        <w:jc w:val="center"/>
        <w:rPr>
          <w:b/>
          <w:bCs/>
        </w:rPr>
      </w:pPr>
    </w:p>
    <w:p w14:paraId="42BD3854" w14:textId="114C658C" w:rsidR="00AE1DB3" w:rsidRPr="00AE1DB3" w:rsidRDefault="00AE1DB3" w:rsidP="00AE1DB3">
      <w:pPr>
        <w:jc w:val="center"/>
        <w:rPr>
          <w:b/>
          <w:bCs/>
        </w:rPr>
      </w:pPr>
      <w:bookmarkStart w:id="0" w:name="_Hlk111712007"/>
      <w:r w:rsidRPr="00B9496B">
        <w:rPr>
          <w:b/>
          <w:bCs/>
        </w:rPr>
        <w:t>Lokalne Kryteria Wyboru Operacji dla przedsięwzięcia 1.1.1 Wsparcie dla zakładania działalności gospodarczej na obszarze LSR</w:t>
      </w:r>
    </w:p>
    <w:bookmarkEnd w:id="0"/>
    <w:p w14:paraId="0B4ACF86" w14:textId="7026CD39" w:rsidR="00821D8C" w:rsidRDefault="00821D8C" w:rsidP="00821D8C">
      <w:pPr>
        <w:jc w:val="center"/>
      </w:pPr>
    </w:p>
    <w:tbl>
      <w:tblPr>
        <w:tblW w:w="15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417"/>
        <w:gridCol w:w="3402"/>
        <w:gridCol w:w="5074"/>
        <w:gridCol w:w="2216"/>
      </w:tblGrid>
      <w:tr w:rsidR="00F97738" w:rsidRPr="00F97738" w14:paraId="185CBC43" w14:textId="77777777" w:rsidTr="003413E4">
        <w:trPr>
          <w:trHeight w:val="128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31DC0AC6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6196267E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Maks. liczba pkt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584FA470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 kryterium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02642F6A" w14:textId="77777777" w:rsidR="002D510D" w:rsidRPr="00F97738" w:rsidRDefault="002D510D" w:rsidP="00B56C8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Sposób weryfikacji i sposób oceny/punktowania 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DEEAF6"/>
          </w:tcPr>
          <w:p w14:paraId="587B9700" w14:textId="77777777" w:rsidR="002D510D" w:rsidRPr="00F97738" w:rsidRDefault="002D510D" w:rsidP="00B56C8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Znaczenie</w:t>
            </w:r>
            <w:r w:rsidRPr="00F97738">
              <w:rPr>
                <w:b/>
                <w:color w:val="000000" w:themeColor="text1"/>
                <w:sz w:val="18"/>
                <w:szCs w:val="18"/>
              </w:rPr>
              <w:t xml:space="preserve"> kryterium</w:t>
            </w:r>
          </w:p>
        </w:tc>
      </w:tr>
      <w:tr w:rsidR="00F97738" w:rsidRPr="00F97738" w14:paraId="636DBC4E" w14:textId="77777777" w:rsidTr="00B56C8D">
        <w:trPr>
          <w:trHeight w:val="262"/>
        </w:trPr>
        <w:tc>
          <w:tcPr>
            <w:tcW w:w="15370" w:type="dxa"/>
            <w:gridSpan w:val="6"/>
            <w:tcBorders>
              <w:top w:val="double" w:sz="4" w:space="0" w:color="auto"/>
            </w:tcBorders>
            <w:shd w:val="clear" w:color="auto" w:fill="DEEAF6"/>
          </w:tcPr>
          <w:p w14:paraId="38AF17FA" w14:textId="01AFD088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" w:name="_Hlk106173651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1.1.1</w:t>
            </w:r>
            <w:r w:rsidR="00AE1D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Wsparcie dla zakładania działalności gospodarczej na obszarze LSR</w:t>
            </w:r>
          </w:p>
          <w:bookmarkEnd w:id="1"/>
          <w:p w14:paraId="3037B028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08E10785" w14:textId="77777777" w:rsidTr="003413E4">
        <w:trPr>
          <w:trHeight w:val="1162"/>
        </w:trPr>
        <w:tc>
          <w:tcPr>
            <w:tcW w:w="581" w:type="dxa"/>
            <w:shd w:val="clear" w:color="auto" w:fill="FFD966"/>
          </w:tcPr>
          <w:p w14:paraId="03DDEB0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14:paraId="738D6A1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przewidział wykorzystanie logotypu LGD zgodnie z wytycznymi</w:t>
            </w:r>
          </w:p>
          <w:p w14:paraId="132AECD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CBAAEC" w14:textId="77777777" w:rsidR="002D510D" w:rsidRPr="00F97738" w:rsidRDefault="00714FD4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5B046E6" w14:textId="39331729" w:rsidR="000F5332" w:rsidRPr="00F17634" w:rsidRDefault="002D510D" w:rsidP="000F5332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Wytyczne dotyczą „</w:t>
            </w:r>
            <w:r w:rsidR="000F5332" w:rsidRPr="00F1763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Księgi wizualizacji znaku PROW 2014-2020” </w:t>
            </w:r>
          </w:p>
          <w:p w14:paraId="506904E3" w14:textId="369CD20D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4" w:type="dxa"/>
            <w:shd w:val="clear" w:color="auto" w:fill="auto"/>
          </w:tcPr>
          <w:p w14:paraId="67ED5AB2" w14:textId="0625308A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Informacje zawarte we wniosku o </w:t>
            </w:r>
            <w:r w:rsidR="00821D8C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="00F9773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polu B.III.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F9773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.4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1EE15DF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35C9DDD6" w14:textId="79CBE53C" w:rsidR="002D510D" w:rsidRPr="00F17634" w:rsidRDefault="00714FD4" w:rsidP="000F53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</w:t>
            </w:r>
            <w:r w:rsidR="00821D8C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wskazany we wniosku sposób wykorzystania logotypu.</w:t>
            </w:r>
          </w:p>
          <w:p w14:paraId="38399818" w14:textId="77777777" w:rsidR="000F5332" w:rsidRPr="00F17634" w:rsidRDefault="000F5332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43B4BD" w14:textId="1E2623D6" w:rsidR="002D510D" w:rsidRPr="00F17634" w:rsidRDefault="002D510D" w:rsidP="000F53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jeśli Wnioskodawca nie przewidział wykorzystania logotypu lub nie wskazał konkretnego sposobu wykorzystania logotypu.</w:t>
            </w:r>
          </w:p>
          <w:p w14:paraId="18A9A732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7FE0D6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27E14A0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horyzontalne</w:t>
            </w:r>
          </w:p>
        </w:tc>
      </w:tr>
      <w:tr w:rsidR="00F97738" w:rsidRPr="00F97738" w14:paraId="07E89EF8" w14:textId="77777777" w:rsidTr="003413E4">
        <w:trPr>
          <w:trHeight w:val="758"/>
        </w:trPr>
        <w:tc>
          <w:tcPr>
            <w:tcW w:w="581" w:type="dxa"/>
            <w:shd w:val="clear" w:color="auto" w:fill="FFD966"/>
          </w:tcPr>
          <w:p w14:paraId="3BEA3629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14:paraId="7E9A4B97" w14:textId="4E4D01C5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Wnioskodawca przewidział wykorzystywanie rozwiązań sprzyjających ochronie środowiska </w:t>
            </w:r>
          </w:p>
          <w:p w14:paraId="0052DCE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F1B6A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F80C1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F5A3A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939BD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CE4D6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7BB75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F32963" w14:textId="4EFB01F0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  <w:p w14:paraId="43355F6B" w14:textId="18ED9D6F" w:rsidR="008F1AD3" w:rsidRPr="00F97738" w:rsidRDefault="001E5814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19A6B67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operacje, w których wnioskodawca wykaże się świadomym działaniem na rzecz poprawy stanu środowiska naturalnego na obszarze objętym LSR, a sama operacja w znaczny sposób przyczyni się do ochrony środowiska. Kryterium rekomendowane w PROW.</w:t>
            </w:r>
          </w:p>
        </w:tc>
        <w:tc>
          <w:tcPr>
            <w:tcW w:w="5074" w:type="dxa"/>
            <w:shd w:val="clear" w:color="auto" w:fill="auto"/>
          </w:tcPr>
          <w:p w14:paraId="3766EF90" w14:textId="13283945" w:rsidR="001D327D" w:rsidRPr="006F5BD8" w:rsidRDefault="002D510D" w:rsidP="001D32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oparciu o i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nformacje zawarte we wniosku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biznesplanie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8F1AD3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Dominujący zakres operacji powinien mieć związek przyczynowy z ochroną </w:t>
            </w:r>
            <w:r w:rsidR="00F9773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środowiska</w:t>
            </w:r>
            <w:r w:rsidR="00777FF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77FFE" w:rsidRPr="006F5BD8">
              <w:rPr>
                <w:rFonts w:ascii="Arial" w:hAnsi="Arial" w:cs="Arial"/>
                <w:sz w:val="18"/>
                <w:szCs w:val="18"/>
              </w:rPr>
              <w:t>czyli albo podejmowana dz</w:t>
            </w:r>
            <w:r w:rsidR="00CE2006" w:rsidRPr="006F5BD8">
              <w:rPr>
                <w:rFonts w:ascii="Arial" w:hAnsi="Arial" w:cs="Arial"/>
                <w:sz w:val="18"/>
                <w:szCs w:val="18"/>
              </w:rPr>
              <w:t>iałalność</w:t>
            </w:r>
            <w:r w:rsidR="00777FFE" w:rsidRPr="006F5BD8">
              <w:rPr>
                <w:rFonts w:ascii="Arial" w:hAnsi="Arial" w:cs="Arial"/>
                <w:sz w:val="18"/>
                <w:szCs w:val="18"/>
              </w:rPr>
              <w:t xml:space="preserve"> jest związana z ekologią albo planowany zakup bezpośrednio prowadzi do ochrony środowiska</w:t>
            </w:r>
            <w:r w:rsidR="00CE2006" w:rsidRPr="006F5BD8">
              <w:rPr>
                <w:rFonts w:ascii="Arial" w:hAnsi="Arial" w:cs="Arial"/>
                <w:sz w:val="18"/>
                <w:szCs w:val="18"/>
              </w:rPr>
              <w:t>.</w:t>
            </w:r>
            <w:r w:rsidR="001D327D" w:rsidRPr="006F5BD8">
              <w:rPr>
                <w:rFonts w:ascii="Arial" w:hAnsi="Arial" w:cs="Arial"/>
                <w:sz w:val="18"/>
                <w:szCs w:val="18"/>
              </w:rPr>
              <w:t xml:space="preserve"> Przez "dominujący zakres operacji" rozumie się sytuację, w której operacja ma adekwatny i ścisły związek przyczynowy z ochroną środowiska. Przy ocenie dominującego zakresu należy mieć na uwadze, że działania </w:t>
            </w:r>
          </w:p>
          <w:p w14:paraId="35BAA0CA" w14:textId="2A36F643" w:rsidR="001D327D" w:rsidRPr="006F5BD8" w:rsidRDefault="001D327D" w:rsidP="001D32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5BD8">
              <w:rPr>
                <w:rFonts w:ascii="Arial" w:hAnsi="Arial" w:cs="Arial"/>
                <w:sz w:val="18"/>
                <w:szCs w:val="18"/>
              </w:rPr>
              <w:t xml:space="preserve">związane z ochroną środowiska muszą stanowić jeden z głównych celów operacji, a nie tylko uboczne (tj. realizowane przy okazji realizacji operacji). W tym zakresie wnioskodawca powinien przewidzieć zorganizowany i rozbudowany mechanizm, który przyczyniłby się do ochrony środowiska (m. in. zapewniający kompleksowy zespół składników i działań przyczyniających się do ochrony środowiska), a nie tylko </w:t>
            </w:r>
          </w:p>
          <w:p w14:paraId="4A495715" w14:textId="609AFE6F" w:rsidR="001D327D" w:rsidRPr="006F5BD8" w:rsidRDefault="001D327D" w:rsidP="001D32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5BD8">
              <w:rPr>
                <w:rFonts w:ascii="Arial" w:hAnsi="Arial" w:cs="Arial"/>
                <w:sz w:val="18"/>
                <w:szCs w:val="18"/>
              </w:rPr>
              <w:t>jednostkowe rozwiązanie, które może być rozpatrywane jako niejako działanie "przy okazji", a nie cel i działanie główne (docelowe), mające charakter dominujący.</w:t>
            </w:r>
          </w:p>
          <w:p w14:paraId="4589A88D" w14:textId="77777777" w:rsidR="001D327D" w:rsidRPr="006F5BD8" w:rsidRDefault="001D327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D7369D" w14:textId="34F4EBFA" w:rsidR="002D510D" w:rsidRPr="00CE2006" w:rsidRDefault="00777FFE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BD8">
              <w:rPr>
                <w:rFonts w:ascii="Arial" w:hAnsi="Arial" w:cs="Arial"/>
                <w:sz w:val="18"/>
                <w:szCs w:val="18"/>
              </w:rPr>
              <w:t>Dodatkowo taki wydatek musi spełniać warunek opisany poniżej:</w:t>
            </w:r>
            <w:r w:rsidRPr="00CE20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0D9F1A" w14:textId="77777777" w:rsidR="00777FFE" w:rsidRPr="00CE2006" w:rsidRDefault="00777FFE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56F74F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745A561B" w14:textId="72A587BC" w:rsidR="002D510D" w:rsidRPr="00F17634" w:rsidRDefault="001E5814" w:rsidP="000F53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ów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wskazanie </w:t>
            </w:r>
          </w:p>
          <w:p w14:paraId="2B718B4E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681AC0" w14:textId="0F80818D" w:rsidR="000F5332" w:rsidRPr="00EC64A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- kosztów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21D8C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przyczyniających się do ochrony środowiska</w:t>
            </w:r>
            <w:r w:rsidR="006F5B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 polu B.III.1.4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wniosku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wskazuje się, które pozycje z 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tabeli 7.1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biznesplanu (wskazanie konkretnych pozycji z zestawienia rzeczowo-finansowego/kosztorysu wraz z uzasadnieniem)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dotyczą</w:t>
            </w:r>
            <w:r w:rsidR="000F5332" w:rsidRPr="00F17634">
              <w:t xml:space="preserve"> </w:t>
            </w:r>
            <w:r w:rsidR="000F533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przyczyniania się do ochrony środowiska </w:t>
            </w:r>
          </w:p>
          <w:p w14:paraId="3DFA04D4" w14:textId="4FF6BCB6" w:rsidR="002D510D" w:rsidRPr="00F17634" w:rsidRDefault="000F5332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Wydatki te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muszą być </w:t>
            </w:r>
            <w:r w:rsidR="002D510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poziomie co najmniej </w:t>
            </w:r>
            <w:r w:rsidR="00EC64A9" w:rsidRPr="006F5BD8">
              <w:rPr>
                <w:rFonts w:ascii="Arial" w:hAnsi="Arial" w:cs="Arial"/>
                <w:color w:val="000000" w:themeColor="text1"/>
                <w:sz w:val="18"/>
                <w:szCs w:val="18"/>
              </w:rPr>
              <w:t>60.000 zł</w:t>
            </w:r>
            <w:r w:rsidR="002D510D" w:rsidRPr="006F5B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łącznie</w:t>
            </w:r>
            <w:r w:rsidRPr="006F5BD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B981C85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8AFC8C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i/lub</w:t>
            </w:r>
          </w:p>
          <w:p w14:paraId="500765B8" w14:textId="7793848E" w:rsidR="002D510D" w:rsidRPr="00EC64A9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- uzasadnienia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polu B.III.1.4 wniosku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potwierdzenie, iż charakter działalności związanej z operacją przyczyni się do ochrony środowiska</w:t>
            </w:r>
            <w:r w:rsidR="00821D8C" w:rsidRPr="00F17634">
              <w:rPr>
                <w:color w:val="000000" w:themeColor="text1"/>
              </w:rPr>
              <w:t xml:space="preserve"> </w:t>
            </w:r>
          </w:p>
          <w:p w14:paraId="1E5FF4AF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  <w:p w14:paraId="623AA38E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 </w:t>
            </w:r>
          </w:p>
          <w:p w14:paraId="0E9A57EF" w14:textId="1F738831" w:rsidR="002D510D" w:rsidRPr="006F5BD8" w:rsidRDefault="002D510D" w:rsidP="004D19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5B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uwzględnił w projekcie wykorzystywania rozwiązań sprzyjających ochronie środowiska </w:t>
            </w:r>
          </w:p>
          <w:p w14:paraId="2E3C7779" w14:textId="77777777" w:rsidR="006F5BD8" w:rsidRPr="006F5BD8" w:rsidRDefault="006F5BD8" w:rsidP="006F5BD8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69ADAA" w14:textId="5A0F4130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jest subiektywną oceną każdego członka Rady</w:t>
            </w:r>
            <w:r w:rsidR="00856A96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E382973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7B9B17AF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Kryterium horyzontalne</w:t>
            </w:r>
          </w:p>
        </w:tc>
      </w:tr>
      <w:tr w:rsidR="00F97738" w:rsidRPr="00F97738" w14:paraId="21B5E332" w14:textId="77777777" w:rsidTr="003413E4">
        <w:trPr>
          <w:trHeight w:val="128"/>
        </w:trPr>
        <w:tc>
          <w:tcPr>
            <w:tcW w:w="581" w:type="dxa"/>
            <w:shd w:val="clear" w:color="auto" w:fill="FFD966"/>
          </w:tcPr>
          <w:p w14:paraId="02275675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14:paraId="3A2C691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2" w:name="_Hlk111713809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wziął udział w szkoleniu/doradztwie organizowanym przez LGD w ramach danego naboru wniosków</w:t>
            </w:r>
            <w:bookmarkEnd w:id="2"/>
          </w:p>
        </w:tc>
        <w:tc>
          <w:tcPr>
            <w:tcW w:w="1417" w:type="dxa"/>
            <w:shd w:val="clear" w:color="auto" w:fill="auto"/>
            <w:vAlign w:val="center"/>
          </w:tcPr>
          <w:p w14:paraId="54C9A0F5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5101C845" w14:textId="77777777" w:rsidR="00F341BE" w:rsidRPr="00F17634" w:rsidRDefault="002D510D" w:rsidP="00F341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wnioskodawców, którzy poprzez udzia</w:t>
            </w:r>
            <w:r w:rsidR="00E84E03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ł w szkoleniu</w:t>
            </w:r>
            <w:r w:rsidR="00A86364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/doradztwie</w:t>
            </w:r>
            <w:r w:rsidR="00E84E03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dotyczącym naboru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podnieśli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swoj</w:t>
            </w:r>
            <w:r w:rsidR="0024782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ą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wiedzę i kompetencj</w:t>
            </w:r>
            <w:r w:rsidR="0024782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przełoży się na jakość projektów.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BBA9ADB" w14:textId="0A4D42A1" w:rsidR="00F341BE" w:rsidRPr="00F17634" w:rsidRDefault="00F341BE" w:rsidP="00F341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Ze szkolenia/doradztwa korzysta wnioskodawca lub pełnomocnik lub osoba wskazana we wniosku jako osoba do kontaktu.</w:t>
            </w:r>
          </w:p>
          <w:p w14:paraId="5630A78D" w14:textId="50D38F3C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4" w:type="dxa"/>
            <w:shd w:val="clear" w:color="auto" w:fill="FFFFFF"/>
          </w:tcPr>
          <w:p w14:paraId="2398B02E" w14:textId="6CCE8BE3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List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obecności ze szkoleń/oświadczenie o odbytym doradztwie w biurze LGD.</w:t>
            </w:r>
            <w:r w:rsidR="0024782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Oświadczenie 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lista </w:t>
            </w:r>
            <w:r w:rsidR="00AE1DB3" w:rsidRPr="006F3B78">
              <w:rPr>
                <w:rFonts w:ascii="Arial" w:hAnsi="Arial" w:cs="Arial"/>
                <w:color w:val="000000" w:themeColor="text1"/>
                <w:sz w:val="18"/>
                <w:szCs w:val="18"/>
              </w:rPr>
              <w:t>są</w:t>
            </w:r>
            <w:r w:rsidR="00AE1D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4782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wewnętrznym dokumentem LGD.</w:t>
            </w:r>
          </w:p>
          <w:p w14:paraId="33AB9407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5A96AD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2653454A" w14:textId="77777777" w:rsidR="002D510D" w:rsidRPr="00F17634" w:rsidRDefault="002D510D" w:rsidP="00F341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punktów za potwierdzone przez LGD Pałuki – Wspólna Sprawa uczestnictwo w szkoleniu lub skorzystanie z doradztwa udzielonego przez LGD Pałuki – Wspólna Sprawa. </w:t>
            </w:r>
          </w:p>
          <w:p w14:paraId="086EBA31" w14:textId="4C6CD83B" w:rsidR="002D510D" w:rsidRPr="00F17634" w:rsidRDefault="002D510D" w:rsidP="00F341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za 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niespełnienie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warunku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wskazanego powyżej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AE994AA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FFFFFF"/>
          </w:tcPr>
          <w:p w14:paraId="0DF8ED57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horyzontalne</w:t>
            </w:r>
          </w:p>
        </w:tc>
      </w:tr>
      <w:tr w:rsidR="00F97738" w:rsidRPr="00F97738" w14:paraId="1D12F26C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59D9BEA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14:paraId="1174873B" w14:textId="357E6DE6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3" w:name="_Hlk111713998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Wnioskodawca przedkłada zaświadczenie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Urzędu Skarbowego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wystawione nie wcześniej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niż miesiąc przed dniem złożenia wniosku) o tym</w:t>
            </w:r>
            <w:r w:rsid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że rozlicza podatek dochodowy (PIT) w lokalnym urzędzie skarbowym.</w:t>
            </w:r>
            <w:bookmarkEnd w:id="3"/>
          </w:p>
        </w:tc>
        <w:tc>
          <w:tcPr>
            <w:tcW w:w="1417" w:type="dxa"/>
            <w:shd w:val="clear" w:color="auto" w:fill="auto"/>
            <w:vAlign w:val="center"/>
          </w:tcPr>
          <w:p w14:paraId="3E74A57F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1BFDC26B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tych wnioskodawców, którzy przyczynią się do wzrostu przychodów w JST na terenie objętym LSR.</w:t>
            </w:r>
          </w:p>
        </w:tc>
        <w:tc>
          <w:tcPr>
            <w:tcW w:w="5074" w:type="dxa"/>
            <w:shd w:val="clear" w:color="auto" w:fill="FFFFFF"/>
          </w:tcPr>
          <w:p w14:paraId="71184F12" w14:textId="48127413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Zaświadczenie dołączone do  wniosku o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(wystawione nie wcześniej niż miesiąc przed dniem złożenia </w:t>
            </w:r>
            <w:bookmarkStart w:id="4" w:name="_Hlk111714116"/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wniosku</w:t>
            </w:r>
            <w:bookmarkEnd w:id="4"/>
            <w:r w:rsidR="00EE70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przypadku kiedy Wnioskodawca nie może uzyskać zaświadczenia w terminie należy przedłożyć wniosek o wydanie zaświadczenia złożony w danym Urzędzie </w:t>
            </w:r>
            <w:r w:rsidR="00D0111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później niż ostatniego dnia naboru wniosków.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F6C0F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przypadku zaświadczenia wystawianego w formie elektronicznej </w:t>
            </w:r>
            <w:r w:rsidR="002F64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wniosku o wydanie zaświadczenia w formie elektronicznej </w:t>
            </w:r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należy dołączyć dokument potwierdzający odebranie zaświadczenia</w:t>
            </w:r>
            <w:r w:rsidR="002F64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/złożenie wniosku</w:t>
            </w:r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np. screen z systemu</w:t>
            </w:r>
            <w:r w:rsidR="00F341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Urzędowe Pismo Przewodnie.</w:t>
            </w:r>
          </w:p>
          <w:p w14:paraId="7D462109" w14:textId="372228E2" w:rsidR="00192E52" w:rsidRPr="00F17634" w:rsidRDefault="00192E52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LGD dopuszcza możliwość wezwania o dostarczenie dokumentu w przypadku kiedy znajduje się on w wykazie załączników a nie ma go w dokumentacji. </w:t>
            </w:r>
          </w:p>
          <w:p w14:paraId="4C9E5B53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226DAB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2DD63641" w14:textId="77777777" w:rsidR="002D510D" w:rsidRPr="00F17634" w:rsidRDefault="002D510D" w:rsidP="00F341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10 punktów za zaświadczenie o rozliczaniu podatku PIT w lokalnym urzędzie skarbowym / zaświadczenie o figurowaniu w ewidencji podatników lokalnego urzędu skarbowego</w:t>
            </w:r>
          </w:p>
          <w:p w14:paraId="0DEC1C48" w14:textId="77777777" w:rsidR="002D510D" w:rsidRPr="00F17634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</w:p>
          <w:p w14:paraId="3605A044" w14:textId="5C974A9E" w:rsidR="002D510D" w:rsidRPr="00F17634" w:rsidRDefault="002D510D" w:rsidP="00F341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5" w:name="_Hlk80691607"/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załączył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zaświadczenia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do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wniosku o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nie spełnia warunku.</w:t>
            </w:r>
          </w:p>
          <w:bookmarkEnd w:id="5"/>
          <w:p w14:paraId="10E22DB1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FFFFFF"/>
          </w:tcPr>
          <w:p w14:paraId="4FFFA2BC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Kryterium specyficzne </w:t>
            </w:r>
          </w:p>
        </w:tc>
      </w:tr>
      <w:tr w:rsidR="00F97738" w:rsidRPr="00F97738" w14:paraId="66B93A64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7AEAD0D4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14:paraId="1D5A4CAE" w14:textId="46CCFD8F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dniu składania wniosku Wnioskodawca jest zameldowany nieprzerwanie na pobyt stały lub czasowy na terenie powiatu żnińskiego, od co </w:t>
            </w:r>
            <w:r w:rsidRPr="00853C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najmniej </w:t>
            </w:r>
            <w:r w:rsidR="00CE2006" w:rsidRPr="00853C2F">
              <w:rPr>
                <w:rFonts w:ascii="Arial" w:hAnsi="Arial" w:cs="Arial"/>
                <w:color w:val="000000" w:themeColor="text1"/>
                <w:sz w:val="18"/>
                <w:szCs w:val="18"/>
              </w:rPr>
              <w:t>6 miesięcy</w:t>
            </w:r>
            <w:r w:rsidRPr="00853C2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C3C65D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1B862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F75878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0209D18F" w14:textId="1A08139E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zameldowani są </w:t>
            </w:r>
            <w:r w:rsidR="00E84E03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nieprzerwanie n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194828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obszar</w:t>
            </w:r>
            <w:r w:rsidR="00D9512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ze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 co </w:t>
            </w:r>
            <w:r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najmniej </w:t>
            </w:r>
            <w:r w:rsidR="00CE2006"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>6 miesięcy</w:t>
            </w:r>
            <w:r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4DB905E2" w14:textId="491E073C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Dokumenty przedstawione przez Wnioskodawcę – urzędowe zaświadczenie o zameldowaniu (wystawione nie wcześniej niż mies</w:t>
            </w:r>
            <w:r w:rsidR="002F64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iąc przed dniem złożenia 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wniosku</w:t>
            </w:r>
            <w:r w:rsidR="00853C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). 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przypadku kiedy Wnioskodawca nie może uzyskać zaświadczenia w terminie należy przedłożyć wniosek o wydanie zaświadczenia </w:t>
            </w:r>
            <w:r w:rsidR="00D0111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złożony w danym Urzędzie nie później niż ostatniego dnia naboru wniosków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9C5E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 W przypadku zaświadczenia drukowanego przez system ePUAP</w:t>
            </w:r>
            <w:r w:rsidR="002F64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wniosku o wydanie zaświadczenia w formie elektronicznej</w:t>
            </w:r>
            <w:r w:rsidR="009C5E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należy dołączyć dokument potwierdzający odebranie zaświadczenia</w:t>
            </w:r>
            <w:r w:rsidR="002F64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/złożenie wniosku</w:t>
            </w:r>
            <w:r w:rsidR="009C5EC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np. screen z systemu.</w:t>
            </w:r>
          </w:p>
          <w:p w14:paraId="3C25D6E6" w14:textId="77777777" w:rsidR="00D04BAE" w:rsidRPr="00F17634" w:rsidRDefault="00D04BAE" w:rsidP="00D04BA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LGD dopuszcza możliwość wezwania o dostarczenie dokumentu w przypadku kiedy znajduje się on w wykazie załączników a nie ma go w dokumentacji. </w:t>
            </w:r>
          </w:p>
          <w:p w14:paraId="44972378" w14:textId="77777777" w:rsidR="00D04BAE" w:rsidRPr="00F17634" w:rsidRDefault="00D04BAE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238C04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44BF48EC" w14:textId="283F7BA1" w:rsidR="002D510D" w:rsidRPr="005D5EEF" w:rsidRDefault="002D510D" w:rsidP="008550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>10 punktów za przedstawienie zaświadczenia dokumentującego zameldowanie na terenie objętym LSR</w:t>
            </w:r>
            <w:r w:rsidR="00194828"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nieprzerwanie </w:t>
            </w:r>
            <w:r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 co najmniej </w:t>
            </w:r>
            <w:r w:rsidR="00CE2006"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>6 miesięcy</w:t>
            </w:r>
            <w:r w:rsidR="007A4C9D"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1028050F" w14:textId="35E417E9" w:rsidR="002D510D" w:rsidRPr="005D5EEF" w:rsidRDefault="002D510D" w:rsidP="008550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jeśli Wnioskodawca</w:t>
            </w:r>
            <w:r w:rsidR="00192E52"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 spełnia warunku lub </w:t>
            </w:r>
            <w:r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 przedłożył Zaświadczenia lub przedłożył a nie wynika z niego, że jest zameldowany nieprzerwanie na pobyt stały lub czasowy na terenie LGD od co najmniej </w:t>
            </w:r>
            <w:r w:rsidR="00CE2006"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>6 miesięcy.</w:t>
            </w:r>
            <w:r w:rsidRPr="005D5E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A56BED4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1CE3B591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color w:val="000000" w:themeColor="text1"/>
                <w:sz w:val="18"/>
                <w:szCs w:val="18"/>
              </w:rPr>
              <w:t xml:space="preserve">Kryterium specyficzne </w:t>
            </w:r>
          </w:p>
        </w:tc>
      </w:tr>
      <w:tr w:rsidR="00F97738" w:rsidRPr="00F97738" w14:paraId="7DF2974E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80ED1A9" w14:textId="328B9CEC" w:rsidR="002D510D" w:rsidRPr="00F97738" w:rsidRDefault="00F61669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0" w:type="dxa"/>
            <w:shd w:val="clear" w:color="auto" w:fill="FFFFFF"/>
          </w:tcPr>
          <w:p w14:paraId="4B8E2207" w14:textId="77777777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6" w:name="_Hlk111715017"/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w ramach projektu zakłada działalność gospodarczą opartą na produktach rolnych.</w:t>
            </w:r>
            <w:bookmarkEnd w:id="6"/>
          </w:p>
        </w:tc>
        <w:tc>
          <w:tcPr>
            <w:tcW w:w="1417" w:type="dxa"/>
            <w:shd w:val="clear" w:color="auto" w:fill="auto"/>
            <w:vAlign w:val="center"/>
          </w:tcPr>
          <w:p w14:paraId="26BC3405" w14:textId="5B09F324" w:rsidR="002D510D" w:rsidRPr="00F97738" w:rsidRDefault="008A7A97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D24769D" w14:textId="720E5BC9" w:rsidR="002D510D" w:rsidRPr="00F1763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zakładaną działalność gospodarczą 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op</w:t>
            </w:r>
            <w:r w:rsid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>rą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produktach rolnych. Kryterium rekomendowane w PROW </w:t>
            </w:r>
          </w:p>
        </w:tc>
        <w:tc>
          <w:tcPr>
            <w:tcW w:w="5074" w:type="dxa"/>
            <w:shd w:val="clear" w:color="auto" w:fill="auto"/>
          </w:tcPr>
          <w:p w14:paraId="1AE733DD" w14:textId="77777777" w:rsidR="002D510D" w:rsidRPr="00F91FF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</w:t>
            </w:r>
          </w:p>
          <w:p w14:paraId="32BD5C0F" w14:textId="3D3871C9" w:rsidR="002D510D" w:rsidRPr="00F91FF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Informacje zawarte we wniosku o </w:t>
            </w:r>
            <w:r w:rsidR="00194828"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przyznanie pomocy </w:t>
            </w:r>
            <w:r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biznesplanie. </w:t>
            </w:r>
          </w:p>
          <w:p w14:paraId="25817CD3" w14:textId="77777777" w:rsidR="002D510D" w:rsidRPr="00F91FF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9E682A" w14:textId="77777777" w:rsidR="002D510D" w:rsidRPr="00F91FF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1F0F1855" w14:textId="57A621ED" w:rsidR="002D510D" w:rsidRPr="00F91FF3" w:rsidRDefault="008A7A97" w:rsidP="008550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2D510D"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 za wykazanie we wniosku (pole B.III.1.4</w:t>
            </w:r>
            <w:r w:rsidR="00192E52"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odniesienie tabeli 9.</w:t>
            </w:r>
            <w:r w:rsidR="00A87EBA"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192E52"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odnoszące się do zakresu operacji</w:t>
            </w:r>
            <w:r w:rsidR="002D510D"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), że zakładana działalność gospodarcza oparta będzie na produktach rolnych. </w:t>
            </w:r>
          </w:p>
          <w:p w14:paraId="21253F23" w14:textId="77777777" w:rsidR="002D510D" w:rsidRPr="00F91FF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F3D56B" w14:textId="77777777" w:rsidR="002D510D" w:rsidRPr="00F91FF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AE98E2" w14:textId="3E521492" w:rsidR="002D510D" w:rsidRPr="00064E1E" w:rsidRDefault="002D510D" w:rsidP="00B56C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jeśli Wnioskodawca nie zakłada wykorzystania w działalności produktów rolnych lub uzasadnienie  ujęte w polu B.III.1.4 nie będzie wystarczające</w:t>
            </w:r>
            <w:r w:rsidR="00192E52"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brak będzie odniesienia </w:t>
            </w:r>
            <w:r w:rsidR="00A87EBA"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tabeli 9.1</w:t>
            </w:r>
            <w:r w:rsidR="00192E52"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produktów rolnych</w:t>
            </w:r>
          </w:p>
          <w:p w14:paraId="5AD45462" w14:textId="597FB25F" w:rsidR="002D510D" w:rsidRPr="00F91FF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Ocena jest subiektywną oceną każdego członka Rady</w:t>
            </w:r>
          </w:p>
          <w:p w14:paraId="1EB62066" w14:textId="77777777" w:rsidR="002D510D" w:rsidRPr="00F91FF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05B901" w14:textId="77777777" w:rsidR="002D510D" w:rsidRPr="00F91FF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1FF3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  <w:p w14:paraId="12972DF0" w14:textId="77777777" w:rsidR="002D510D" w:rsidRPr="00F91FF3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4CCA0A1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Kryterium specyficzne </w:t>
            </w:r>
          </w:p>
        </w:tc>
      </w:tr>
      <w:tr w:rsidR="00F97738" w:rsidRPr="00F97738" w14:paraId="1C6ED72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EA381F2" w14:textId="45728BF6" w:rsidR="002D510D" w:rsidRPr="00F97738" w:rsidRDefault="00DF65A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0" w:type="dxa"/>
            <w:shd w:val="clear" w:color="auto" w:fill="FFFFFF"/>
          </w:tcPr>
          <w:p w14:paraId="3B737E24" w14:textId="4E4ACDB2" w:rsidR="002D510D" w:rsidRPr="00F17634" w:rsidRDefault="008A7A97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Czas realizacji projektu do 3 miesięcy od </w:t>
            </w:r>
          </w:p>
          <w:p w14:paraId="41BD0F6F" w14:textId="3835BF3B" w:rsidR="00081BB9" w:rsidRPr="00F17634" w:rsidRDefault="008550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081BB9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trzymania wypłaty 1 transzy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5EC18" w14:textId="77777777" w:rsidR="002D510D" w:rsidRPr="00F97738" w:rsidRDefault="008B623F" w:rsidP="008A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7E17C3F" w14:textId="51BFB600" w:rsidR="00BD39EF" w:rsidRPr="001464F2" w:rsidRDefault="008A7A97" w:rsidP="008550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operacje przyczyniające się do szybkiej realizacji </w:t>
            </w:r>
            <w:r w:rsidR="008550D7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wskaźników zawartych w LSR</w:t>
            </w:r>
            <w:r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BD39EF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będzie promowało projekty, których realizacja jest zaplanowana na krótki okres</w:t>
            </w:r>
            <w:r w:rsidR="00194828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BD39EF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ma wpływ na osiąganie przez LGD wskaźników. </w:t>
            </w:r>
          </w:p>
          <w:p w14:paraId="50685839" w14:textId="77777777" w:rsidR="00BD39EF" w:rsidRPr="001464F2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3F153C" w14:textId="2F3207B5" w:rsidR="002D510D" w:rsidRPr="001464F2" w:rsidRDefault="00BD39EF" w:rsidP="008550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kryterium jest adekwatne do analizy SWOT i mierzalne, pozwalające przypisać operacji określoną ilość punktów na podstawie dokumentacji. Jego zastosowanie zwiększa szanse na przygotowanie wysokiej jakości dokumentacji do wniosków o </w:t>
            </w:r>
            <w:r w:rsidR="00936860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</w:p>
        </w:tc>
        <w:tc>
          <w:tcPr>
            <w:tcW w:w="5074" w:type="dxa"/>
            <w:shd w:val="clear" w:color="auto" w:fill="auto"/>
          </w:tcPr>
          <w:p w14:paraId="77A98DED" w14:textId="159B3943" w:rsidR="00194828" w:rsidRPr="001464F2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</w:t>
            </w:r>
            <w:r w:rsidR="009D7FD7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ę</w:t>
            </w:r>
            <w:r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przyznaje się w następujący sposób:</w:t>
            </w:r>
          </w:p>
          <w:p w14:paraId="4652EA1C" w14:textId="721D4065" w:rsidR="008550D7" w:rsidRPr="001464F2" w:rsidRDefault="008B623F" w:rsidP="008550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2D510D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za </w:t>
            </w:r>
            <w:r w:rsidR="008A7A97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deklarację we wniosku</w:t>
            </w:r>
            <w:r w:rsidR="00081BB9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polu</w:t>
            </w:r>
            <w:r w:rsidR="00F376A0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B.III.</w:t>
            </w:r>
            <w:r w:rsidR="00081BB9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1.4</w:t>
            </w:r>
            <w:r w:rsidR="008A7A97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realizacji operacji i złożenia wniosku o płatność 2 transzy w terminie do 3 miesięcy od dnia</w:t>
            </w:r>
            <w:r w:rsidR="00A86364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</w:t>
            </w:r>
            <w:r w:rsidR="00081BB9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trzymania pierwszej transzy.</w:t>
            </w:r>
            <w:r w:rsidR="009D7FD7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E71BD46" w14:textId="77777777" w:rsidR="008550D7" w:rsidRPr="001464F2" w:rsidRDefault="008550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E3F7DB" w14:textId="0378494A" w:rsidR="002D510D" w:rsidRPr="001464F2" w:rsidRDefault="009D7F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UWAGA: W PRZYPADKU OT</w:t>
            </w:r>
            <w:r w:rsidR="00F376A0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RZ</w:t>
            </w:r>
            <w:r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YMANIA PUNKTÓW TERMINU NIE BĘDZIE MOŻNA WYDŁUŻYC </w:t>
            </w:r>
            <w:r w:rsidR="008550D7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(jeśli zmiana wpływałaby na pozycję na liście operacji wybranych powodującą negatywny wynik wyboru) </w:t>
            </w:r>
            <w:r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ZATEM TRZEBA REALNIE OKREŚLIĆ TERMIN MAJĄC NA WZGLĘDZIE ZAKRES OPERACJI. </w:t>
            </w:r>
          </w:p>
          <w:p w14:paraId="0977A092" w14:textId="7331CA34" w:rsidR="00713887" w:rsidRPr="001464F2" w:rsidRDefault="002D510D" w:rsidP="00F115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za brak</w:t>
            </w:r>
            <w:r w:rsidR="008550D7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deklaracji dotyczącej terminu w polu B.III.1.4</w:t>
            </w:r>
            <w:r w:rsidR="00E6401E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192E52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deklarację powyżej 3 miesięcy</w:t>
            </w:r>
            <w:r w:rsidR="00645277"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638BD17" w14:textId="4D57BE1B" w:rsidR="002D510D" w:rsidRPr="001464F2" w:rsidRDefault="002D510D" w:rsidP="008550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9BAEFE1" w14:textId="77777777" w:rsidR="002D510D" w:rsidRPr="001464F2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64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63913A04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specyficzne </w:t>
            </w:r>
          </w:p>
          <w:p w14:paraId="556B9CE5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Kryterium rozstrzygające 3.</w:t>
            </w:r>
          </w:p>
        </w:tc>
      </w:tr>
      <w:tr w:rsidR="00F97738" w:rsidRPr="00F97738" w14:paraId="13BC2E3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6341DF51" w14:textId="291EA977" w:rsidR="002D510D" w:rsidRPr="00F97738" w:rsidRDefault="00DF65A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0" w:type="dxa"/>
            <w:shd w:val="clear" w:color="auto" w:fill="FFFFFF"/>
          </w:tcPr>
          <w:p w14:paraId="71211DEF" w14:textId="2B92439E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7" w:name="_Hlk111715331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Wnioskodawca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będzie realizował operację w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liczącej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5000 mieszkańców 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zameldowanych na pobyt stały.</w:t>
            </w:r>
            <w:bookmarkEnd w:id="7"/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64F2A" w14:textId="61381DFF" w:rsidR="002D510D" w:rsidRPr="00F97738" w:rsidRDefault="00C1491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197C31E" w14:textId="6BAC688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premiować będzie te projekty, które przyczyniać się będą do 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rozwoju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liczących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mieszkańców.</w:t>
            </w:r>
          </w:p>
          <w:p w14:paraId="56252CF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premiowane przez PROW. </w:t>
            </w:r>
          </w:p>
        </w:tc>
        <w:tc>
          <w:tcPr>
            <w:tcW w:w="5074" w:type="dxa"/>
            <w:shd w:val="clear" w:color="auto" w:fill="auto"/>
          </w:tcPr>
          <w:p w14:paraId="6B3ADC1D" w14:textId="7302E4C3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Dane statystyczne z Urzędów Gmin pozyskane przez LGD – stan na dzień 31.</w:t>
            </w:r>
            <w:r w:rsidR="00441EA0" w:rsidRPr="00DF65AD">
              <w:rPr>
                <w:rFonts w:ascii="Arial" w:hAnsi="Arial" w:cs="Arial"/>
                <w:color w:val="000000" w:themeColor="text1"/>
                <w:sz w:val="18"/>
                <w:szCs w:val="18"/>
              </w:rPr>
              <w:t>grudnia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roku poprzedzającego rok złożenia wniosku.</w:t>
            </w:r>
          </w:p>
          <w:p w14:paraId="4C1B4350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4CF23ACA" w14:textId="6C017686" w:rsidR="002D510D" w:rsidRPr="00192E52" w:rsidRDefault="00C14910" w:rsidP="00192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8B623F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unkt</w:t>
            </w:r>
            <w:r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</w:t>
            </w:r>
            <w:r w:rsidR="00936860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realizację operacji w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</w:t>
            </w:r>
            <w:r w:rsidR="00803E58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ej</w:t>
            </w:r>
            <w:r w:rsidR="00AF44E0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mniej niż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</w:t>
            </w:r>
            <w:r w:rsidR="00192E52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mieszkańców.</w:t>
            </w:r>
          </w:p>
          <w:p w14:paraId="03C6325A" w14:textId="1D5B0DC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864770" w14:textId="77777777" w:rsidR="002D510D" w:rsidRPr="00192E52" w:rsidRDefault="002D510D" w:rsidP="00192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projekt dotyczy większej miejscowości </w:t>
            </w:r>
            <w:r w:rsidR="00D9512A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liczącej co najmniej 5000 mieszkańców</w:t>
            </w:r>
          </w:p>
          <w:p w14:paraId="6B6F7BFC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  <w:p w14:paraId="2EF46CC2" w14:textId="2B3AC1A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71FD0BD7" w14:textId="77777777" w:rsidR="002D510D" w:rsidRPr="007115EA" w:rsidRDefault="002D510D" w:rsidP="00B56C8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115E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Kryterium rozstrzygające 1.</w:t>
            </w:r>
          </w:p>
        </w:tc>
      </w:tr>
      <w:tr w:rsidR="00F97738" w:rsidRPr="00F97738" w14:paraId="4C87A7B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3546D32C" w14:textId="377E18D7" w:rsidR="002D510D" w:rsidRPr="00F97738" w:rsidRDefault="00CD3A23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80" w:type="dxa"/>
            <w:shd w:val="clear" w:color="auto" w:fill="FFFFFF"/>
          </w:tcPr>
          <w:p w14:paraId="791FFFDE" w14:textId="08242FB6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jest osobą:</w:t>
            </w:r>
          </w:p>
          <w:p w14:paraId="5BA7F36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do 35 r. ż. w dniu złożenia wniosku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(osoby, które nie ukończyły 35 lat)</w:t>
            </w:r>
          </w:p>
          <w:p w14:paraId="5531140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pow. 50 r.ż. w dniu złożenia wniosku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(osoby, które ukończyły 50 lat)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A1C12" w14:textId="6A37D64F" w:rsidR="002D510D" w:rsidRPr="00F97738" w:rsidRDefault="00C1491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0873BBF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będzie premiować te osoby, które w diagnozie zostały wskazane, jako należące do grupy defaworyzowanej.</w:t>
            </w:r>
          </w:p>
        </w:tc>
        <w:tc>
          <w:tcPr>
            <w:tcW w:w="5074" w:type="dxa"/>
            <w:shd w:val="clear" w:color="auto" w:fill="auto"/>
          </w:tcPr>
          <w:p w14:paraId="5AFF2CB3" w14:textId="0F88DE9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kserokopi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dowodu osobistego.</w:t>
            </w:r>
          </w:p>
          <w:p w14:paraId="0A62C8C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0ABDA73B" w14:textId="44E61865" w:rsidR="002D510D" w:rsidRPr="00A75EBE" w:rsidRDefault="00C14910" w:rsidP="00A75E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jeśli wnioskodawca spełnieni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warun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ek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dot. wieku</w:t>
            </w:r>
          </w:p>
          <w:p w14:paraId="28C53E9A" w14:textId="528C8601" w:rsidR="002D510D" w:rsidRPr="00A75EBE" w:rsidRDefault="002D510D" w:rsidP="00A75E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spełnia warunku dot. wieku. </w:t>
            </w:r>
          </w:p>
          <w:p w14:paraId="31FF6E5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37E12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0DC4A8A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premiujące grupy defaworyzowane</w:t>
            </w:r>
          </w:p>
        </w:tc>
      </w:tr>
      <w:tr w:rsidR="00F97738" w:rsidRPr="00F97738" w14:paraId="1EFD0492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B3A4ADD" w14:textId="3A4B378E" w:rsidR="008B623F" w:rsidRPr="00F97738" w:rsidRDefault="008B623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CD3A2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80" w:type="dxa"/>
            <w:shd w:val="clear" w:color="auto" w:fill="FFFFFF"/>
          </w:tcPr>
          <w:p w14:paraId="5656ADEA" w14:textId="5CE25D5B" w:rsidR="008B623F" w:rsidRPr="00F97738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zakłada działalność gospodarcz</w:t>
            </w:r>
            <w:r w:rsidR="00EC637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ą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 </w:t>
            </w:r>
            <w:r w:rsidR="001F4C5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raz pierwszy </w:t>
            </w:r>
            <w:r w:rsidR="00F96FB2"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zakończył prowadzenie działalności co najmniej </w:t>
            </w:r>
            <w:r w:rsidR="00483CDD"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t>60 miesięcy przed dniem złożenia wniosku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ADB99" w14:textId="77777777" w:rsidR="008B623F" w:rsidRPr="00F17634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B623F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6A76481" w14:textId="5ADEAF31" w:rsidR="008B623F" w:rsidRPr="00F17634" w:rsidRDefault="008B623F" w:rsidP="00A75E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premiować będzie tych wnioskodawców, którzy do chwili złożenia wniosku </w:t>
            </w:r>
            <w:r w:rsidR="00C60FD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 prowadzili działalności gospodarczej </w:t>
            </w:r>
            <w:r w:rsidR="00483CDD"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ogóle lub od co najmniej 60 miesięcy </w:t>
            </w:r>
            <w:r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t>a poprzez założenie działalności przyczynią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się do rozwoju mikroprzedsiębiorczości na obszarze</w:t>
            </w:r>
            <w:r w:rsidR="00A75EBE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objętym LSR</w:t>
            </w:r>
            <w:r w:rsidR="00C60FD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BE55CA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0EC7A699" w14:textId="636581EB" w:rsidR="008B623F" w:rsidRPr="00441EA0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</w:t>
            </w:r>
            <w:r w:rsidR="00714FD4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oświadczenie wnioskodawcy składane pod rygorem odpowiedzialności karnej.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A4C9D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Oświadczenie stanowi odrębny załącznik do wniosku</w:t>
            </w:r>
            <w:r w:rsidR="007A4C9D"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441EA0"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t>Wzór oświadczenia jest załącznikiem do naboru wniosków. Jeśli Wnioskodawca posiada NIP powinien go wskazać w oświadczeniu a jeśli nie oświadczyć, że nie posiada.</w:t>
            </w:r>
          </w:p>
          <w:p w14:paraId="1C4EE745" w14:textId="77777777" w:rsidR="008B623F" w:rsidRPr="00F17634" w:rsidRDefault="008B623F" w:rsidP="008B62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60D1108B" w14:textId="5A8FC1CD" w:rsidR="00A75EBE" w:rsidRPr="00D56645" w:rsidRDefault="00D9512A" w:rsidP="00A75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B623F"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t>5 punktów</w:t>
            </w:r>
            <w:r w:rsidR="00936860"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8B623F"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wnioskodawca nigdy nie prowadził działalności </w:t>
            </w:r>
            <w:r w:rsidR="00441EA0"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zakończył prowadzenie działalności </w:t>
            </w:r>
            <w:r w:rsidR="00441EA0" w:rsidRPr="00D5664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co najmniej 60 miesięcy przed dniem złożenia wniosku</w:t>
            </w:r>
          </w:p>
          <w:p w14:paraId="30E24E06" w14:textId="37E1F5E4" w:rsidR="008B623F" w:rsidRPr="00F17634" w:rsidRDefault="008B623F" w:rsidP="00A75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wnioskodawca </w:t>
            </w:r>
            <w:r w:rsidR="00AF5757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nie spełnia warunku.</w:t>
            </w:r>
          </w:p>
        </w:tc>
        <w:tc>
          <w:tcPr>
            <w:tcW w:w="2216" w:type="dxa"/>
            <w:shd w:val="clear" w:color="auto" w:fill="auto"/>
          </w:tcPr>
          <w:p w14:paraId="74D809CD" w14:textId="77777777" w:rsidR="008B623F" w:rsidRPr="00F97738" w:rsidRDefault="008B623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1904D57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1B6A2D4" w14:textId="5D62CFA6" w:rsidR="00BD39EF" w:rsidRPr="00F97738" w:rsidRDefault="00BD39E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CD3A2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14:paraId="56915470" w14:textId="0EEBE2CD" w:rsidR="00BD39EF" w:rsidRPr="00F97738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8" w:name="_Hlk111716206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Do wniosku załączono dokumenty potwierdzające założone koszty.</w:t>
            </w:r>
            <w:bookmarkEnd w:id="8"/>
          </w:p>
        </w:tc>
        <w:tc>
          <w:tcPr>
            <w:tcW w:w="1417" w:type="dxa"/>
            <w:shd w:val="clear" w:color="auto" w:fill="auto"/>
            <w:vAlign w:val="center"/>
          </w:tcPr>
          <w:p w14:paraId="0459A5C5" w14:textId="7101543D" w:rsidR="00BD39EF" w:rsidRPr="007115EA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  <w:p w14:paraId="20613A16" w14:textId="715C81AF" w:rsidR="007115EA" w:rsidRPr="00F97738" w:rsidRDefault="007115EA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4E1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3222DBBE" w14:textId="04BCCB6B" w:rsidR="00BD39EF" w:rsidRPr="00F17634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ramach kryterium preferowane będą operacje, w których będzie można określić racjonalność wydatków dla danej operacji. Dane kryterium będzie weryfikowane/ oceniane na podstawie wniosku o 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załączników do wniosku - dokumenty potwierdzające poziom cen dla każdego z zaplanowanych wydatków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stanowiących podstawę wyliczenia kwoty pomocy</w:t>
            </w: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 Dokumentami tymi są oferty</w:t>
            </w:r>
            <w:r w:rsidR="00B20C8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846E8" w:rsidRPr="00064E1E">
              <w:rPr>
                <w:rFonts w:ascii="Arial" w:hAnsi="Arial" w:cs="Arial"/>
                <w:color w:val="000000" w:themeColor="text1"/>
                <w:sz w:val="18"/>
                <w:szCs w:val="18"/>
              </w:rPr>
              <w:t>sporządzone</w:t>
            </w:r>
            <w:r w:rsidR="008846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20C8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na wzorze udostępnionym przez LGD</w:t>
            </w:r>
            <w:r w:rsidR="00192E52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dokumenty równoważne zawierające wskazane elementy</w:t>
            </w:r>
            <w:r w:rsidR="00A86364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20C8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kosztorys</w:t>
            </w:r>
            <w:r w:rsidR="00B20C8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prac inwestycyjnych</w:t>
            </w:r>
            <w:r w:rsidR="00936860"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E54DA84" w14:textId="77777777" w:rsidR="00BD39EF" w:rsidRPr="00F17634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Przyjęte założenia pozwolą punktować operacje, które udokumentują, że założone we wniosku kwoty są kosztami racjonalnymi, rynkowymi. </w:t>
            </w:r>
          </w:p>
          <w:p w14:paraId="4CFE2FF7" w14:textId="184FF9A2" w:rsidR="00BD39EF" w:rsidRPr="00F17634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kryterium jest mierzalne, pozwalające przypisać operacji określoną ilość punktów na podstawie dokumentacji (wniosku i załączników), adekwatne do analizy SWOT, która wskazuje na duże zapotrzebowanie społeczności w pozyskiwaniu środków unijnych</w:t>
            </w:r>
          </w:p>
        </w:tc>
        <w:tc>
          <w:tcPr>
            <w:tcW w:w="5074" w:type="dxa"/>
            <w:shd w:val="clear" w:color="auto" w:fill="auto"/>
          </w:tcPr>
          <w:p w14:paraId="2671B87C" w14:textId="392C6136" w:rsidR="00BD39EF" w:rsidRPr="00F17634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Weryfikacja: na podstawie 2  </w:t>
            </w:r>
            <w:r w:rsidR="00936860"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dokumentów</w:t>
            </w:r>
            <w:r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dla każdego wydatku</w:t>
            </w:r>
            <w:r w:rsidR="00936860"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stanowiącego podstawę wyliczenia kwoty pomocy</w:t>
            </w:r>
            <w:r w:rsidR="00A75EBE"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lub kosztorysu</w:t>
            </w:r>
            <w:r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.</w:t>
            </w: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Jednakże, aby </w:t>
            </w:r>
            <w:r w:rsidR="00936860"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wskazane</w:t>
            </w: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. dokumenty mogły zostać uznane za </w:t>
            </w:r>
            <w:r w:rsidRPr="00F1763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ar-SA"/>
              </w:rPr>
              <w:t>kompletne</w:t>
            </w: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, a tym samy</w:t>
            </w:r>
            <w:r w:rsidR="00936860"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m</w:t>
            </w: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dopuszczalne jako załączniki do wniosku powinny zawierać takie elementy jak:</w:t>
            </w:r>
          </w:p>
          <w:p w14:paraId="73BF374C" w14:textId="77777777" w:rsidR="00BD39EF" w:rsidRPr="00F17634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 wskazanie sprzedawcy/ usługodawcy,</w:t>
            </w:r>
          </w:p>
          <w:p w14:paraId="09B95F0A" w14:textId="77777777" w:rsidR="00BD39EF" w:rsidRPr="00F17634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-przedmiot zakupu</w:t>
            </w:r>
          </w:p>
          <w:p w14:paraId="277FC2FF" w14:textId="0D3CB227" w:rsidR="00BD39EF" w:rsidRPr="00064E1E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-podstawowe parametry techniczne</w:t>
            </w:r>
            <w:r w:rsidR="008846E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8846E8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lub jakościowe</w:t>
            </w:r>
            <w:r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sprzętu/charakterystykę ( np. moc, wielkość, prędkość itp.) </w:t>
            </w:r>
            <w:r w:rsidR="001C42C2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Min. 3 p</w:t>
            </w:r>
            <w:r w:rsidR="005325DA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arametry spójne ze wskazanymi w tabeli 7.1 biznesplanu.</w:t>
            </w:r>
          </w:p>
          <w:p w14:paraId="6B688B99" w14:textId="77777777" w:rsidR="00BD39EF" w:rsidRPr="00064E1E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 cenę netto oraz brutto bądź stawkę podatku VAT,</w:t>
            </w:r>
          </w:p>
          <w:p w14:paraId="3713CFE5" w14:textId="77777777" w:rsidR="008846E8" w:rsidRPr="00064E1E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-podpis oferenta</w:t>
            </w:r>
          </w:p>
          <w:p w14:paraId="752669F2" w14:textId="21609932" w:rsidR="001364C8" w:rsidRPr="00064E1E" w:rsidRDefault="008846E8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 datę wystawienia oferty</w:t>
            </w:r>
            <w:r w:rsidR="00E70FEB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79CDB4DE" w14:textId="1DD224C5" w:rsidR="001364C8" w:rsidRPr="00F17634" w:rsidRDefault="001364C8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Oferty </w:t>
            </w:r>
            <w:r w:rsidR="006772AC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mogą </w:t>
            </w:r>
            <w:r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być sporządzone na wzorze</w:t>
            </w: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LGD</w:t>
            </w:r>
            <w:r w:rsidR="00D04BAE"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lub dokumencie równoważnym ale </w:t>
            </w:r>
            <w:r w:rsidR="006772AC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muszą </w:t>
            </w:r>
            <w:r w:rsidR="00D04BAE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zawierać wszystkie wymienione elementy</w:t>
            </w:r>
            <w:r w:rsidR="006772AC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i nie mogą być wystawione wcześniej niż </w:t>
            </w:r>
            <w:r w:rsidR="002F4D54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90 dni</w:t>
            </w:r>
            <w:r w:rsidR="006772AC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przed dniem złożenia wniosku.</w:t>
            </w:r>
            <w:r w:rsidR="00A86364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7840CD" w:rsidRPr="00064E1E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Wzór oferty cenowej stanowi załącznik do ogłoszenia o naborze wniosków.</w:t>
            </w:r>
          </w:p>
          <w:p w14:paraId="24C05A0E" w14:textId="0E3CA6A1" w:rsidR="00BD39EF" w:rsidRPr="00F17634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8"/>
                <w:lang w:eastAsia="ar-SA"/>
              </w:rPr>
            </w:pPr>
            <w:r w:rsidRPr="00F1763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024B8D1A" w14:textId="5508F957" w:rsidR="00BD39EF" w:rsidRPr="00F17634" w:rsidRDefault="001364C8" w:rsidP="00BD39EF">
            <w:pPr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</w:pPr>
            <w:r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W przypadku wezwania przez LGD do uzupełnienia oferty na etapie weryfikacji wstępnej wniosku punkty nie będą przyznane. </w:t>
            </w:r>
          </w:p>
          <w:p w14:paraId="4CD15DF7" w14:textId="31B0BD6C" w:rsidR="00936860" w:rsidRPr="00F17634" w:rsidRDefault="00936860" w:rsidP="00BD39EF">
            <w:pPr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</w:pPr>
            <w:r w:rsidRPr="00F17634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Punktacja przyznawana będzie w następujący sposób:</w:t>
            </w:r>
          </w:p>
          <w:p w14:paraId="2770D2E6" w14:textId="2C69E2C2" w:rsidR="00BD39EF" w:rsidRPr="00F17634" w:rsidRDefault="00713887" w:rsidP="005325DA">
            <w:pPr>
              <w:pStyle w:val="Akapitzlist"/>
              <w:numPr>
                <w:ilvl w:val="0"/>
                <w:numId w:val="8"/>
              </w:num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4E1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="00BD39EF" w:rsidRPr="00064E1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 pkt</w:t>
            </w:r>
            <w:r w:rsidR="00BD39EF" w:rsidRPr="00F17634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39EF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Wnioskodawca</w:t>
            </w:r>
            <w:r w:rsidR="00BD39EF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dostarczy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ł</w:t>
            </w:r>
            <w:r w:rsidR="00BD39EF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min </w:t>
            </w:r>
            <w:r w:rsidR="002F2FAC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 oferty cenowe</w:t>
            </w:r>
            <w:r w:rsidR="00D04BAE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lub kosztorys</w:t>
            </w:r>
            <w:r w:rsidR="002F2FAC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D39EF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potwierdzając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</w:t>
            </w:r>
            <w:r w:rsidR="00BD39EF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przyjęty poziom cen  d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la</w:t>
            </w:r>
            <w:r w:rsidR="00BD39EF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każdego kosztu</w:t>
            </w:r>
            <w:r w:rsidR="00803E58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stanowiącego podstawę wyliczenia kwoty pomocy. </w:t>
            </w:r>
          </w:p>
          <w:p w14:paraId="4E82E5A1" w14:textId="6DEC0445" w:rsidR="00BD39EF" w:rsidRPr="00F17634" w:rsidRDefault="00BD39EF" w:rsidP="00064E1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7634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0 pkt 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Wnioskodawca 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nie dostarczył 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min. 2 </w:t>
            </w:r>
            <w:r w:rsidR="00A86364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oferty cenow</w:t>
            </w:r>
            <w:r w:rsidR="008846E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ych</w:t>
            </w:r>
            <w:r w:rsidR="00A86364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04BAE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lub kosztorys</w:t>
            </w:r>
            <w:r w:rsidR="008846E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u</w:t>
            </w:r>
            <w:r w:rsidR="00D04BAE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potwierdzając</w:t>
            </w:r>
            <w:r w:rsidR="008846E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ych</w:t>
            </w:r>
            <w:r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poziom cen </w:t>
            </w:r>
            <w:r w:rsidR="00936860" w:rsidRPr="00F1763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dla kosztów stanowiących podstawę wyliczenia kwoty pomocy. </w:t>
            </w:r>
          </w:p>
        </w:tc>
        <w:tc>
          <w:tcPr>
            <w:tcW w:w="2216" w:type="dxa"/>
            <w:shd w:val="clear" w:color="auto" w:fill="auto"/>
          </w:tcPr>
          <w:p w14:paraId="0EB03599" w14:textId="6C736F09" w:rsidR="00BD39EF" w:rsidRPr="007115EA" w:rsidRDefault="007115EA" w:rsidP="00B56C8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4E1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Kryterium rozstrzygające nr 2</w:t>
            </w:r>
          </w:p>
        </w:tc>
      </w:tr>
      <w:tr w:rsidR="00F97738" w:rsidRPr="00F97738" w14:paraId="0A25F230" w14:textId="77777777" w:rsidTr="003413E4">
        <w:trPr>
          <w:trHeight w:val="401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634C2F81" w14:textId="77777777" w:rsidR="00EC6370" w:rsidRPr="00F97738" w:rsidRDefault="00EC6370" w:rsidP="00EC637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C75854" w14:textId="074A7ABC" w:rsidR="00EC6370" w:rsidRPr="00F97738" w:rsidRDefault="00632361" w:rsidP="008A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1E5814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69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6948103" w14:textId="77777777" w:rsidR="00EC6370" w:rsidRPr="00F97738" w:rsidRDefault="00EC6370" w:rsidP="00EC63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B0EE676" w14:textId="758CC6D4" w:rsidR="000F43C5" w:rsidRDefault="00912758">
      <w:r>
        <w:t>Minimum punktowe – 45 p.</w:t>
      </w:r>
    </w:p>
    <w:sectPr w:rsidR="000F43C5" w:rsidSect="002A4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4088"/>
    <w:multiLevelType w:val="hybridMultilevel"/>
    <w:tmpl w:val="DBE6A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FC5"/>
    <w:multiLevelType w:val="hybridMultilevel"/>
    <w:tmpl w:val="FE10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79D1"/>
    <w:multiLevelType w:val="hybridMultilevel"/>
    <w:tmpl w:val="D42E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B24"/>
    <w:multiLevelType w:val="hybridMultilevel"/>
    <w:tmpl w:val="F124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77F6"/>
    <w:multiLevelType w:val="hybridMultilevel"/>
    <w:tmpl w:val="446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44CB"/>
    <w:multiLevelType w:val="hybridMultilevel"/>
    <w:tmpl w:val="B044A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4E64"/>
    <w:multiLevelType w:val="hybridMultilevel"/>
    <w:tmpl w:val="6D30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6730"/>
    <w:multiLevelType w:val="hybridMultilevel"/>
    <w:tmpl w:val="1902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71040">
    <w:abstractNumId w:val="1"/>
  </w:num>
  <w:num w:numId="2" w16cid:durableId="1398481468">
    <w:abstractNumId w:val="2"/>
  </w:num>
  <w:num w:numId="3" w16cid:durableId="1379815101">
    <w:abstractNumId w:val="3"/>
  </w:num>
  <w:num w:numId="4" w16cid:durableId="414547158">
    <w:abstractNumId w:val="0"/>
  </w:num>
  <w:num w:numId="5" w16cid:durableId="1361323076">
    <w:abstractNumId w:val="7"/>
  </w:num>
  <w:num w:numId="6" w16cid:durableId="383258492">
    <w:abstractNumId w:val="4"/>
  </w:num>
  <w:num w:numId="7" w16cid:durableId="166599567">
    <w:abstractNumId w:val="5"/>
  </w:num>
  <w:num w:numId="8" w16cid:durableId="207379841">
    <w:abstractNumId w:val="6"/>
  </w:num>
  <w:num w:numId="9" w16cid:durableId="1256784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0D"/>
    <w:rsid w:val="000208D3"/>
    <w:rsid w:val="000525E1"/>
    <w:rsid w:val="00064E1E"/>
    <w:rsid w:val="00074CE2"/>
    <w:rsid w:val="00081BB9"/>
    <w:rsid w:val="000F43C5"/>
    <w:rsid w:val="000F5332"/>
    <w:rsid w:val="001364C8"/>
    <w:rsid w:val="001464F2"/>
    <w:rsid w:val="001638F3"/>
    <w:rsid w:val="00192E52"/>
    <w:rsid w:val="00194828"/>
    <w:rsid w:val="0019606E"/>
    <w:rsid w:val="001C42C2"/>
    <w:rsid w:val="001D327D"/>
    <w:rsid w:val="001D5261"/>
    <w:rsid w:val="001E2E43"/>
    <w:rsid w:val="001E5814"/>
    <w:rsid w:val="001F4C53"/>
    <w:rsid w:val="00201BA4"/>
    <w:rsid w:val="00207E08"/>
    <w:rsid w:val="00232931"/>
    <w:rsid w:val="00247829"/>
    <w:rsid w:val="002A4C77"/>
    <w:rsid w:val="002D510D"/>
    <w:rsid w:val="002E69C0"/>
    <w:rsid w:val="002F2FAC"/>
    <w:rsid w:val="002F4D54"/>
    <w:rsid w:val="002F64C2"/>
    <w:rsid w:val="003413E4"/>
    <w:rsid w:val="003A790D"/>
    <w:rsid w:val="00401D5E"/>
    <w:rsid w:val="00441EA0"/>
    <w:rsid w:val="00483CDD"/>
    <w:rsid w:val="004944A9"/>
    <w:rsid w:val="005325DA"/>
    <w:rsid w:val="005D5EEF"/>
    <w:rsid w:val="00620A6C"/>
    <w:rsid w:val="00626005"/>
    <w:rsid w:val="00632361"/>
    <w:rsid w:val="0064264A"/>
    <w:rsid w:val="00645277"/>
    <w:rsid w:val="006772AC"/>
    <w:rsid w:val="006D3E56"/>
    <w:rsid w:val="006F3B78"/>
    <w:rsid w:val="006F5BD8"/>
    <w:rsid w:val="006F7363"/>
    <w:rsid w:val="00705C88"/>
    <w:rsid w:val="007115EA"/>
    <w:rsid w:val="00713887"/>
    <w:rsid w:val="00714FD4"/>
    <w:rsid w:val="00777FFE"/>
    <w:rsid w:val="007804F3"/>
    <w:rsid w:val="007840CD"/>
    <w:rsid w:val="007A4C9D"/>
    <w:rsid w:val="007A6BBF"/>
    <w:rsid w:val="007F63F4"/>
    <w:rsid w:val="00803E58"/>
    <w:rsid w:val="00821D8C"/>
    <w:rsid w:val="00853C2F"/>
    <w:rsid w:val="008550D7"/>
    <w:rsid w:val="00856A96"/>
    <w:rsid w:val="0086781C"/>
    <w:rsid w:val="00881FAD"/>
    <w:rsid w:val="008846E8"/>
    <w:rsid w:val="008A7A97"/>
    <w:rsid w:val="008B623F"/>
    <w:rsid w:val="008E1475"/>
    <w:rsid w:val="008E412C"/>
    <w:rsid w:val="008F0E93"/>
    <w:rsid w:val="008F1AD3"/>
    <w:rsid w:val="00912758"/>
    <w:rsid w:val="00936860"/>
    <w:rsid w:val="009468C4"/>
    <w:rsid w:val="009C5EC2"/>
    <w:rsid w:val="009D7FD7"/>
    <w:rsid w:val="009F1F82"/>
    <w:rsid w:val="00A11794"/>
    <w:rsid w:val="00A50E56"/>
    <w:rsid w:val="00A75EBE"/>
    <w:rsid w:val="00A86364"/>
    <w:rsid w:val="00A87EBA"/>
    <w:rsid w:val="00AE1DB3"/>
    <w:rsid w:val="00AF44E0"/>
    <w:rsid w:val="00AF5757"/>
    <w:rsid w:val="00B20C80"/>
    <w:rsid w:val="00B22051"/>
    <w:rsid w:val="00B56942"/>
    <w:rsid w:val="00B9496B"/>
    <w:rsid w:val="00BD39EF"/>
    <w:rsid w:val="00BE55CA"/>
    <w:rsid w:val="00C14910"/>
    <w:rsid w:val="00C4085A"/>
    <w:rsid w:val="00C438CF"/>
    <w:rsid w:val="00C60FDD"/>
    <w:rsid w:val="00CB3BAD"/>
    <w:rsid w:val="00CC6C67"/>
    <w:rsid w:val="00CD3A23"/>
    <w:rsid w:val="00CE0329"/>
    <w:rsid w:val="00CE2006"/>
    <w:rsid w:val="00D01118"/>
    <w:rsid w:val="00D04BAE"/>
    <w:rsid w:val="00D0733D"/>
    <w:rsid w:val="00D11F09"/>
    <w:rsid w:val="00D56645"/>
    <w:rsid w:val="00D9512A"/>
    <w:rsid w:val="00DB2B63"/>
    <w:rsid w:val="00DF65AD"/>
    <w:rsid w:val="00E004E0"/>
    <w:rsid w:val="00E6401E"/>
    <w:rsid w:val="00E70FEB"/>
    <w:rsid w:val="00E84E03"/>
    <w:rsid w:val="00EA0245"/>
    <w:rsid w:val="00EC6370"/>
    <w:rsid w:val="00EC64A9"/>
    <w:rsid w:val="00EC7DF4"/>
    <w:rsid w:val="00EE706B"/>
    <w:rsid w:val="00F17634"/>
    <w:rsid w:val="00F341BE"/>
    <w:rsid w:val="00F376A0"/>
    <w:rsid w:val="00F46D9D"/>
    <w:rsid w:val="00F61669"/>
    <w:rsid w:val="00F91FF3"/>
    <w:rsid w:val="00F96FB2"/>
    <w:rsid w:val="00F97738"/>
    <w:rsid w:val="00FD58E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65C9"/>
  <w15:docId w15:val="{2459283F-2B94-44CF-8D03-C11BA8C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E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1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12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F533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D3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27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B3ED-2B48-4233-A541-B7E02978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WeronikaP</dc:creator>
  <cp:lastModifiedBy>Weronika</cp:lastModifiedBy>
  <cp:revision>18</cp:revision>
  <cp:lastPrinted>2022-08-18T10:01:00Z</cp:lastPrinted>
  <dcterms:created xsi:type="dcterms:W3CDTF">2022-02-07T13:19:00Z</dcterms:created>
  <dcterms:modified xsi:type="dcterms:W3CDTF">2022-12-12T09:01:00Z</dcterms:modified>
</cp:coreProperties>
</file>